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First Contact &amp; Mail Outreach Model</w:t>
      </w:r>
    </w:p>
    <w:p>
      <w:pPr>
        <w:spacing w:after="160"/>
      </w:pPr>
      <w:r>
        <w:rPr>
          <w:color w:val="6E665F"/>
          <w:sz w:val="21"/>
        </w:rPr>
        <w:t>STUDIO CONNERS | Revised September 8, 2026</w:t>
      </w:r>
    </w:p>
    <w:p>
      <w:pPr>
        <w:spacing w:after="260"/>
      </w:pPr>
      <w:r>
        <w:rPr>
          <w:b/>
          <w:color w:val="A14F2B"/>
          <w:sz w:val="17"/>
        </w:rPr>
        <w:t>MAIL-FIRST PUBLIC BOUNDARY • PROBLEM-SPECIFIC INVITATIONS</w:t>
      </w:r>
    </w:p>
    <w:p>
      <w:pPr>
        <w:pStyle w:val="Heading1"/>
      </w:pPr>
      <w:r>
        <w:t>What changed</w:t>
      </w:r>
    </w:p>
    <w:p>
      <w:r>
        <w:rPr>
          <w:b/>
        </w:rPr>
        <w:t xml:space="preserve">The initial first-client outreach plan moved from hand delivery to mail. </w:t>
      </w:r>
      <w:r>
        <w:t>That change aligns first contact with the remote-first Studio Day model and avoids suggesting that Studio Conners is an onsite or drop-in local service business.</w:t>
      </w:r>
    </w:p>
    <w:p>
      <w:pPr>
        <w:pStyle w:val="Heading1"/>
      </w:pPr>
      <w:r>
        <w:t>Public mail boundary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Use mail rather than hand delivery for the initial outreach batch.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Assume a PO Box as the public-facing business mailing address rather than using the Conners home as the normal public mail destination.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Keep the business personal and local without making the family home part of the customer experience.</w:t>
      </w:r>
    </w:p>
    <w:p>
      <w:pPr>
        <w:pStyle w:val="Heading1"/>
      </w:pPr>
      <w:r>
        <w:t>What an invitation means</w:t>
      </w:r>
    </w:p>
    <w:p>
      <w:r>
        <w:rPr>
          <w:b/>
        </w:rPr>
        <w:t xml:space="preserve">An invitation clears a specific problem, not a person. </w:t>
      </w:r>
      <w:r>
        <w:t>Studio Conners is saying, in effect, “we have seen enough of this problem to invite you to bring this problem to us.” The invitation does not permanently pre-approve unrelated future work from the same person or business.</w:t>
      </w:r>
    </w:p>
    <w:p>
      <w:pPr>
        <w:pStyle w:val="Heading1"/>
      </w:pPr>
      <w:r>
        <w:t>First invited batch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CJ's Drive Inn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Bill Ruba Cabinetry &amp; Construction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Furnishings On Second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First American Pickers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Mouser's Digging &amp; Pump Service</w:t>
      </w:r>
    </w:p>
    <w:p>
      <w:r>
        <w:rPr>
          <w:b/>
        </w:rPr>
        <w:t xml:space="preserve">Each business already has a business-specific concept/mail piece. </w:t>
      </w:r>
      <w:r>
        <w:t>Those five PDFs remain the concrete outbound artifacts; the September 8 change is primarily how they are delivered and how the relationship is framed.</w:t>
      </w:r>
    </w:p>
    <w:p>
      <w:pPr>
        <w:pStyle w:val="Heading1"/>
      </w:pPr>
      <w:r>
        <w:t>Open implementation detail</w:t>
      </w:r>
    </w:p>
    <w:p>
      <w:r>
        <w:rPr>
          <w:b/>
        </w:rPr>
        <w:t xml:space="preserve">The PO Box is an operating assumption, not a completed setup item. </w:t>
      </w:r>
      <w:r>
        <w:t>Obtaining it and updating public-facing materials should remain visible as follow-through work rather than being treated as already completed.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E665F"/>
        <w:sz w:val="16"/>
      </w:rPr>
      <w:t>STUDIO CONNERS • First Contact &amp; Mail Outreach Model • 2026-09-08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Liberation Sans" w:hAnsi="Liberation Sans"/>
      <w:color w:val="2421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A14F2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211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24211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