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80"/>
      </w:pPr>
    </w:p>
    <w:p>
      <w:pPr>
        <w:jc w:val="left"/>
      </w:pPr>
      <w:r>
        <w:rPr>
          <w:b/>
          <w:color w:val="6E8BFF"/>
          <w:sz w:val="20"/>
        </w:rPr>
        <w:t>ONE HUMAN. ONE QUESTION. ONE DAY.</w:t>
      </w:r>
    </w:p>
    <w:p>
      <w:pPr>
        <w:spacing w:after="160"/>
      </w:pPr>
      <w:r>
        <w:rPr>
          <w:rFonts w:ascii="Aptos Display" w:hAnsi="Aptos Display"/>
          <w:b/>
          <w:color w:val="172033"/>
          <w:sz w:val="68"/>
        </w:rPr>
        <w:t>ObsessOS</w:t>
      </w:r>
    </w:p>
    <w:p>
      <w:pPr>
        <w:spacing w:after="560"/>
      </w:pPr>
      <w:r>
        <w:rPr>
          <w:rFonts w:ascii="Aptos Display" w:hAnsi="Aptos Display"/>
          <w:color w:val="304B9B"/>
          <w:sz w:val="40"/>
        </w:rPr>
        <w:t>Personal v0.1 Product Specification</w:t>
      </w: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t>DOCUMENT STATUS  Frozen canonical product specification for the Personal v0.1 Lovable build. Settled Project decisions are requirements. Any later product change must be explicitly approved and recorded as a change to this specification. Lovable implementation work may not silently reinterpret it.</w:t>
            </w:r>
          </w:p>
        </w:tc>
      </w:tr>
    </w:tbl>
    <w:p>
      <w:pPr>
        <w:spacing w:after="0"/>
      </w:pPr>
    </w:p>
    <w:p>
      <w:r>
        <w:rPr>
          <w:b/>
        </w:rPr>
        <w:t>Version 0.1</w:t>
      </w:r>
      <w:r>
        <w:t xml:space="preserve">  •  August 26, 2026  •  Product boundary: personal use</w:t>
      </w:r>
    </w:p>
    <w:p>
      <w:pPr>
        <w:spacing w:after="360"/>
      </w:pPr>
    </w:p>
    <w:p>
      <w:r>
        <w:t>ObsessOS is an operating system for human attention. It helps a person consider, schedule, begin, record, close, present, remember, and eventually exchange a day of attention. Personal v0.1 proves the private human loop. It does not attempt to contain the work itself.</w:t>
      </w:r>
    </w:p>
    <w:p>
      <w:r>
        <w:br w:type="page"/>
      </w:r>
    </w:p>
    <w:p>
      <w:pPr>
        <w:pStyle w:val="Heading1"/>
      </w:pPr>
      <w:r>
        <w:t>1. Authority, scope, and interpretation</w:t>
      </w:r>
    </w:p>
    <w:p>
      <w:r>
        <w:t>This specification is the frozen canonical product specification for the Personal v0.1 Lovable build. It is written for direct translation into Lovable screens, domain entities, access policies, required backend capabilities, and state transitions. Later product changes must be explicitly approved and recorded as changes to this specification; Lovable implementation work may not silently reinterpret it. Where the design deliberately leaves room for human choice, implementation must preserve that room rather than filling it with automation or scoring.</w:t>
      </w: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rPr>
                <w:b/>
                <w:color w:val="304B9B"/>
                <w:sz w:val="18"/>
              </w:rPr>
              <w:t xml:space="preserve">INTERPRETATION RULE  </w:t>
            </w:r>
            <w:r>
              <w:rPr>
                <w:sz w:val="20"/>
              </w:rPr>
              <w:t>When a proposed implementation conflicts with this specification, stop and surface the conflict. Do not silently rename concepts, merge states, infer relationships, add engagement mechanics, or widen the product boundary.</w:t>
            </w:r>
          </w:p>
        </w:tc>
      </w:tr>
    </w:tbl>
    <w:p>
      <w:pPr>
        <w:spacing w:after="0"/>
      </w:pPr>
    </w:p>
    <w:p>
      <w:pPr>
        <w:pStyle w:val="Heading2"/>
      </w:pPr>
      <w:r>
        <w:t>1.1 Normative language</w:t>
      </w:r>
    </w:p>
    <w:p>
      <w:pPr>
        <w:pStyle w:val="ListBullet"/>
      </w:pPr>
      <w:r>
        <w:t xml:space="preserve"> Must / required: blocking v0.1 behavior.</w:t>
      </w:r>
    </w:p>
    <w:p>
      <w:pPr>
        <w:pStyle w:val="ListBullet"/>
      </w:pPr>
      <w:r>
        <w:t xml:space="preserve"> May / optional: supported behavior that the user can omit without blocking the lifecycle.</w:t>
      </w:r>
    </w:p>
    <w:p>
      <w:pPr>
        <w:pStyle w:val="ListBullet"/>
      </w:pPr>
      <w:r>
        <w:t xml:space="preserve"> Deferred: intentionally outside personal v0.1, even if the data model should leave a clean future path.</w:t>
      </w:r>
    </w:p>
    <w:p>
      <w:pPr>
        <w:pStyle w:val="Heading2"/>
      </w:pPr>
      <w:r>
        <w:t>1.2 Product boundary</w:t>
      </w:r>
    </w:p>
    <w:p>
      <w:r>
        <w:t>ObsessOS is the ceremony and memory around an Obsession Day. The actual Obsession may happen in a browser, a workshop, a notebook, a city, another application, or nowhere digital at all. The Active Day therefore offers sparse orientation and stays out of the way; it is not a task canvas, timer, capture-centered work surface, chat workspace, or execution dashboard.</w:t>
      </w:r>
    </w:p>
    <w:p>
      <w:pPr>
        <w:pStyle w:val="Heading1"/>
      </w:pPr>
      <w:r>
        <w:t>2. Product definition and core principles</w:t>
      </w:r>
    </w:p>
    <w:p>
      <w:pPr>
        <w:pStyle w:val="Heading2"/>
      </w:pPr>
      <w:r>
        <w:t>2.1 Definition</w:t>
      </w:r>
    </w:p>
    <w:p>
      <w:r>
        <w:t>An Obsession is one human giving one question one calendar day. ObsessOS makes that commitment legible before the day, present during the day, and meaningful afterward. The completed record is not a checked-off task; it is a finished exhibit of what the day became.</w:t>
      </w:r>
    </w:p>
    <w:p>
      <w:pPr>
        <w:pStyle w:val="Heading2"/>
      </w:pPr>
      <w:r>
        <w:t>2.2 Canonical principles</w:t>
      </w:r>
    </w:p>
    <w:p>
      <w:pPr>
        <w:pStyle w:val="ListBullet"/>
      </w:pPr>
      <w:r>
        <w:t xml:space="preserve"> One human. One question. One day. The day is the irreducible unit; ObsessOS does not decompose it into tasks or measure its minutes.</w:t>
      </w:r>
    </w:p>
    <w:p>
      <w:pPr>
        <w:pStyle w:val="ListBullet"/>
      </w:pPr>
      <w:r>
        <w:t xml:space="preserve"> Attention is significant. Beginning an Obsession is a deliberate threshold, and finishing it is a closing ceremony—not a checkbox.</w:t>
      </w:r>
    </w:p>
    <w:p>
      <w:pPr>
        <w:pStyle w:val="ListBullet"/>
      </w:pPr>
      <w:r>
        <w:t xml:space="preserve"> Human agency precedes automation. The person declares meaning, relationships, visibility, and what is worth preserving.</w:t>
      </w:r>
    </w:p>
    <w:p>
      <w:pPr>
        <w:pStyle w:val="ListBullet"/>
      </w:pPr>
      <w:r>
        <w:t xml:space="preserve"> Description over judgment. The system asks what happened and what remains; it does not score productivity, quality, discipline, or success.</w:t>
      </w:r>
    </w:p>
    <w:p>
      <w:pPr>
        <w:pStyle w:val="ListBullet"/>
      </w:pPr>
      <w:r>
        <w:t xml:space="preserve"> The system stays out of the way. During the day, the product remains calm and sparse.</w:t>
      </w:r>
    </w:p>
    <w:p>
      <w:pPr>
        <w:pStyle w:val="ListBullet"/>
      </w:pPr>
      <w:r>
        <w:t xml:space="preserve"> Memory over metrics. History should feel like a gallery of lived attention, not an analytics dashboard.</w:t>
      </w:r>
    </w:p>
    <w:p>
      <w:pPr>
        <w:pStyle w:val="ListBullet"/>
      </w:pPr>
      <w:r>
        <w:t xml:space="preserve"> Incomplete is not failure. Unfinished closeouts and older open Obsessions remain resumable without punishment and never block a new day.</w:t>
      </w:r>
    </w:p>
    <w:p>
      <w:pPr>
        <w:pStyle w:val="ListBullet"/>
      </w:pPr>
      <w:r>
        <w:t xml:space="preserve"> Privacy is the default. Public presentation is intentional and per exhibit; identity remains minimal.</w:t>
      </w:r>
    </w:p>
    <w:p>
      <w:pPr>
        <w:pStyle w:val="ListBullet"/>
      </w:pPr>
      <w:r>
        <w:t xml:space="preserve"> No inferred meaning. ObsessOS never infers that two Possibilities or Obsessions are related.</w:t>
      </w:r>
    </w:p>
    <w:p>
      <w:pPr>
        <w:pStyle w:val="ListBullet"/>
      </w:pPr>
      <w:r>
        <w:t xml:space="preserve"> No consecutive related Obsessions. A declared relationship invokes a spacing rule that protects novelty and separation.</w:t>
      </w:r>
    </w:p>
    <w:p>
      <w:pPr>
        <w:pStyle w:val="Heading2"/>
      </w:pPr>
      <w:r>
        <w:t>2.3 Product category exclusions</w:t>
      </w:r>
    </w:p>
    <w:tbl>
      <w:tblPr>
        <w:tblStyle w:val="TableGrid"/>
        <w:tblW w:type="auto" w:w="0"/>
        <w:jc w:val="left"/>
        <w:tblLayout w:type="fixed"/>
        <w:tblLook w:firstColumn="1" w:firstRow="1" w:lastColumn="0" w:lastRow="0" w:noHBand="0" w:noVBand="1" w:val="04A0"/>
      </w:tblPr>
      <w:tblGrid>
        <w:gridCol w:w="4824"/>
        <w:gridCol w:w="4824"/>
      </w:tblGrid>
      <w:tr>
        <w:trPr>
          <w:tblHeader w:val="true"/>
          <w:cantSplit/>
          <w:cantSplit/>
        </w:trPr>
        <w:tc>
          <w:tcPr>
            <w:tcW w:type="dxa" w:w="2100"/>
            <w:shd w:fill="E8EEF8"/>
            <w:vAlign w:val="center"/>
            <w:tcMar>
              <w:top w:w="90" w:type="dxa"/>
              <w:start w:w="120" w:type="dxa"/>
              <w:bottom w:w="90" w:type="dxa"/>
              <w:end w:w="120" w:type="dxa"/>
            </w:tcMar>
          </w:tcPr>
          <w:p>
            <w:r>
              <w:rPr>
                <w:b/>
                <w:color w:val="304B9B"/>
                <w:sz w:val="19"/>
              </w:rPr>
              <w:t>ObsessOS is not</w:t>
            </w:r>
          </w:p>
        </w:tc>
        <w:tc>
          <w:tcPr>
            <w:tcW w:type="dxa" w:w="7260"/>
            <w:shd w:fill="E8EEF8"/>
            <w:vAlign w:val="center"/>
            <w:tcMar>
              <w:top w:w="90" w:type="dxa"/>
              <w:start w:w="120" w:type="dxa"/>
              <w:bottom w:w="90" w:type="dxa"/>
              <w:end w:w="120" w:type="dxa"/>
            </w:tcMar>
          </w:tcPr>
          <w:p>
            <w:r>
              <w:rPr>
                <w:b/>
                <w:color w:val="304B9B"/>
                <w:sz w:val="19"/>
              </w:rPr>
              <w:t>Forbidden v0.1 drift</w:t>
            </w:r>
          </w:p>
        </w:tc>
      </w:tr>
      <w:tr>
        <w:trPr>
          <w:cantSplit/>
        </w:trPr>
        <w:tc>
          <w:tcPr>
            <w:tcW w:type="dxa" w:w="2100"/>
            <w:vAlign w:val="center"/>
            <w:tcMar>
              <w:top w:w="90" w:type="dxa"/>
              <w:start w:w="120" w:type="dxa"/>
              <w:bottom w:w="90" w:type="dxa"/>
              <w:end w:w="120" w:type="dxa"/>
            </w:tcMar>
          </w:tcPr>
          <w:p>
            <w:pPr>
              <w:spacing w:after="40" w:line="252" w:lineRule="auto"/>
            </w:pPr>
            <w:r>
              <w:rPr>
                <w:sz w:val="18"/>
              </w:rPr>
              <w:t>Productivity software</w:t>
            </w:r>
          </w:p>
        </w:tc>
        <w:tc>
          <w:tcPr>
            <w:tcW w:type="dxa" w:w="7260"/>
            <w:vAlign w:val="center"/>
            <w:tcMar>
              <w:top w:w="90" w:type="dxa"/>
              <w:start w:w="120" w:type="dxa"/>
              <w:bottom w:w="90" w:type="dxa"/>
              <w:end w:w="120" w:type="dxa"/>
            </w:tcMar>
          </w:tcPr>
          <w:p>
            <w:pPr>
              <w:spacing w:after="40" w:line="252" w:lineRule="auto"/>
            </w:pPr>
            <w:r>
              <w:rPr>
                <w:sz w:val="18"/>
              </w:rPr>
              <w:t>Tasks, subtasks, checklists, estimates, priorities, streaks, completion rates, focus scores, time tracking.</w:t>
            </w:r>
          </w:p>
        </w:tc>
      </w:tr>
      <w:tr>
        <w:trPr>
          <w:cantSplit/>
        </w:trPr>
        <w:tc>
          <w:tcPr>
            <w:tcW w:type="dxa" w:w="2100"/>
            <w:vAlign w:val="center"/>
            <w:tcMar>
              <w:top w:w="90" w:type="dxa"/>
              <w:start w:w="120" w:type="dxa"/>
              <w:bottom w:w="90" w:type="dxa"/>
              <w:end w:w="120" w:type="dxa"/>
            </w:tcMar>
          </w:tcPr>
          <w:p>
            <w:pPr>
              <w:spacing w:after="40" w:line="252" w:lineRule="auto"/>
            </w:pPr>
            <w:r>
              <w:rPr>
                <w:sz w:val="18"/>
              </w:rPr>
              <w:t>Project management</w:t>
            </w:r>
          </w:p>
        </w:tc>
        <w:tc>
          <w:tcPr>
            <w:tcW w:type="dxa" w:w="7260"/>
            <w:vAlign w:val="center"/>
            <w:tcMar>
              <w:top w:w="90" w:type="dxa"/>
              <w:start w:w="120" w:type="dxa"/>
              <w:bottom w:w="90" w:type="dxa"/>
              <w:end w:w="120" w:type="dxa"/>
            </w:tcMar>
          </w:tcPr>
          <w:p>
            <w:pPr>
              <w:spacing w:after="40" w:line="252" w:lineRule="auto"/>
            </w:pPr>
            <w:r>
              <w:rPr>
                <w:sz w:val="18"/>
              </w:rPr>
              <w:t>Projects, sprints, kanban, assignees, dependencies, capacity planning, team status.</w:t>
            </w:r>
          </w:p>
        </w:tc>
      </w:tr>
      <w:tr>
        <w:trPr>
          <w:cantSplit/>
        </w:trPr>
        <w:tc>
          <w:tcPr>
            <w:tcW w:type="dxa" w:w="2100"/>
            <w:vAlign w:val="center"/>
            <w:tcMar>
              <w:top w:w="90" w:type="dxa"/>
              <w:start w:w="120" w:type="dxa"/>
              <w:bottom w:w="90" w:type="dxa"/>
              <w:end w:w="120" w:type="dxa"/>
            </w:tcMar>
          </w:tcPr>
          <w:p>
            <w:pPr>
              <w:spacing w:after="40" w:line="252" w:lineRule="auto"/>
            </w:pPr>
            <w:r>
              <w:rPr>
                <w:sz w:val="18"/>
              </w:rPr>
              <w:t>AI workspace</w:t>
            </w:r>
          </w:p>
        </w:tc>
        <w:tc>
          <w:tcPr>
            <w:tcW w:type="dxa" w:w="7260"/>
            <w:vAlign w:val="center"/>
            <w:tcMar>
              <w:top w:w="90" w:type="dxa"/>
              <w:start w:w="120" w:type="dxa"/>
              <w:bottom w:w="90" w:type="dxa"/>
              <w:end w:w="120" w:type="dxa"/>
            </w:tcMar>
          </w:tcPr>
          <w:p>
            <w:pPr>
              <w:spacing w:after="40" w:line="252" w:lineRule="auto"/>
            </w:pPr>
            <w:r>
              <w:rPr>
                <w:sz w:val="18"/>
              </w:rPr>
              <w:t>A general-purpose chat surface, document editor, agent roster, autonomous execution environment, or generated plan factory.</w:t>
            </w:r>
          </w:p>
        </w:tc>
      </w:tr>
      <w:tr>
        <w:trPr>
          <w:cantSplit/>
        </w:trPr>
        <w:tc>
          <w:tcPr>
            <w:tcW w:type="dxa" w:w="2100"/>
            <w:vAlign w:val="center"/>
            <w:tcMar>
              <w:top w:w="90" w:type="dxa"/>
              <w:start w:w="120" w:type="dxa"/>
              <w:bottom w:w="90" w:type="dxa"/>
              <w:end w:w="120" w:type="dxa"/>
            </w:tcMar>
          </w:tcPr>
          <w:p>
            <w:pPr>
              <w:spacing w:after="40" w:line="252" w:lineRule="auto"/>
            </w:pPr>
            <w:r>
              <w:rPr>
                <w:sz w:val="18"/>
              </w:rPr>
              <w:t>Social network</w:t>
            </w:r>
          </w:p>
        </w:tc>
        <w:tc>
          <w:tcPr>
            <w:tcW w:type="dxa" w:w="7260"/>
            <w:vAlign w:val="center"/>
            <w:tcMar>
              <w:top w:w="90" w:type="dxa"/>
              <w:start w:w="120" w:type="dxa"/>
              <w:bottom w:w="90" w:type="dxa"/>
              <w:end w:w="120" w:type="dxa"/>
            </w:tcMar>
          </w:tcPr>
          <w:p>
            <w:pPr>
              <w:spacing w:after="40" w:line="252" w:lineRule="auto"/>
            </w:pPr>
            <w:r>
              <w:rPr>
                <w:sz w:val="18"/>
              </w:rPr>
              <w:t>Feeds, follows, likes, reactions, comments, follower counts, engagement ranking, algorithmic discovery.</w:t>
            </w:r>
          </w:p>
        </w:tc>
      </w:tr>
      <w:tr>
        <w:trPr>
          <w:cantSplit/>
        </w:trPr>
        <w:tc>
          <w:tcPr>
            <w:tcW w:type="dxa" w:w="2100"/>
            <w:vAlign w:val="center"/>
            <w:tcMar>
              <w:top w:w="90" w:type="dxa"/>
              <w:start w:w="120" w:type="dxa"/>
              <w:bottom w:w="90" w:type="dxa"/>
              <w:end w:w="120" w:type="dxa"/>
            </w:tcMar>
          </w:tcPr>
          <w:p>
            <w:pPr>
              <w:spacing w:after="40" w:line="252" w:lineRule="auto"/>
            </w:pPr>
            <w:r>
              <w:rPr>
                <w:sz w:val="18"/>
              </w:rPr>
              <w:t>Gig marketplace</w:t>
            </w:r>
          </w:p>
        </w:tc>
        <w:tc>
          <w:tcPr>
            <w:tcW w:type="dxa" w:w="7260"/>
            <w:vAlign w:val="center"/>
            <w:tcMar>
              <w:top w:w="90" w:type="dxa"/>
              <w:start w:w="120" w:type="dxa"/>
              <w:bottom w:w="90" w:type="dxa"/>
              <w:end w:w="120" w:type="dxa"/>
            </w:tcMar>
          </w:tcPr>
          <w:p>
            <w:pPr>
              <w:spacing w:after="40" w:line="252" w:lineRule="auto"/>
            </w:pPr>
            <w:r>
              <w:rPr>
                <w:sz w:val="18"/>
              </w:rPr>
              <w:t>Open bidding, competitive proposals, ratings, escrow, worker profiles, or transactional matching.</w:t>
            </w:r>
          </w:p>
        </w:tc>
      </w:tr>
    </w:tbl>
    <w:p>
      <w:pPr>
        <w:spacing w:after="0"/>
      </w:pPr>
    </w:p>
    <w:p>
      <w:pPr>
        <w:pStyle w:val="Heading1"/>
      </w:pPr>
      <w:r>
        <w:t>3. Canonical personal lifecycle</w:t>
      </w:r>
    </w:p>
    <w:p>
      <w:r>
        <w:t>The lifecycle is intentionally short and legible. Possibility captures a question without obligation. Scheduling gives it a local date. Brief prepares the day. Begin Obsession freezes the before-state and creates the Obsession Day. Active Day holds the commitment while staying out of the way. Closeout turns the day into one finished exhibit. History presents it as a gallery. Each Obsession also retains its own always-private Archive: the back room containing the frozen starting record, preserved raw material, and everything that came back.</w:t>
      </w:r>
    </w:p>
    <w:tbl>
      <w:tblPr>
        <w:tblStyle w:val="TableGrid"/>
        <w:tblW w:type="auto" w:w="0"/>
        <w:jc w:val="left"/>
        <w:tblLayout w:type="fixed"/>
        <w:tblLook w:firstColumn="1" w:firstRow="1" w:lastColumn="0" w:lastRow="0" w:noHBand="0" w:noVBand="1" w:val="04A0"/>
      </w:tblPr>
      <w:tblGrid>
        <w:gridCol w:w="2412"/>
        <w:gridCol w:w="2412"/>
        <w:gridCol w:w="2412"/>
        <w:gridCol w:w="2412"/>
      </w:tblGrid>
      <w:tr>
        <w:trPr>
          <w:tblHeader w:val="true"/>
          <w:cantSplit/>
          <w:cantSplit/>
        </w:trPr>
        <w:tc>
          <w:tcPr>
            <w:tcW w:type="dxa" w:w="1200"/>
            <w:shd w:fill="E8EEF8"/>
            <w:vAlign w:val="center"/>
            <w:tcMar>
              <w:top w:w="90" w:type="dxa"/>
              <w:start w:w="120" w:type="dxa"/>
              <w:bottom w:w="90" w:type="dxa"/>
              <w:end w:w="120" w:type="dxa"/>
            </w:tcMar>
          </w:tcPr>
          <w:p>
            <w:r>
              <w:rPr>
                <w:b/>
                <w:color w:val="304B9B"/>
                <w:sz w:val="19"/>
              </w:rPr>
              <w:t>Stage</w:t>
            </w:r>
          </w:p>
        </w:tc>
        <w:tc>
          <w:tcPr>
            <w:tcW w:type="dxa" w:w="1450"/>
            <w:shd w:fill="E8EEF8"/>
            <w:vAlign w:val="center"/>
            <w:tcMar>
              <w:top w:w="90" w:type="dxa"/>
              <w:start w:w="120" w:type="dxa"/>
              <w:bottom w:w="90" w:type="dxa"/>
              <w:end w:w="120" w:type="dxa"/>
            </w:tcMar>
          </w:tcPr>
          <w:p>
            <w:r>
              <w:rPr>
                <w:b/>
                <w:color w:val="304B9B"/>
                <w:sz w:val="19"/>
              </w:rPr>
              <w:t>Canonical state</w:t>
            </w:r>
          </w:p>
        </w:tc>
        <w:tc>
          <w:tcPr>
            <w:tcW w:type="dxa" w:w="4200"/>
            <w:shd w:fill="E8EEF8"/>
            <w:vAlign w:val="center"/>
            <w:tcMar>
              <w:top w:w="90" w:type="dxa"/>
              <w:start w:w="120" w:type="dxa"/>
              <w:bottom w:w="90" w:type="dxa"/>
              <w:end w:w="120" w:type="dxa"/>
            </w:tcMar>
          </w:tcPr>
          <w:p>
            <w:r>
              <w:rPr>
                <w:b/>
                <w:color w:val="304B9B"/>
                <w:sz w:val="19"/>
              </w:rPr>
              <w:t>Meaning</w:t>
            </w:r>
          </w:p>
        </w:tc>
        <w:tc>
          <w:tcPr>
            <w:tcW w:type="dxa" w:w="2510"/>
            <w:shd w:fill="E8EEF8"/>
            <w:vAlign w:val="center"/>
            <w:tcMar>
              <w:top w:w="90" w:type="dxa"/>
              <w:start w:w="120" w:type="dxa"/>
              <w:bottom w:w="90" w:type="dxa"/>
              <w:end w:w="120" w:type="dxa"/>
            </w:tcMar>
          </w:tcPr>
          <w:p>
            <w:r>
              <w:rPr>
                <w:b/>
                <w:color w:val="304B9B"/>
                <w:sz w:val="19"/>
              </w:rPr>
              <w:t>Primary transition</w:t>
            </w:r>
          </w:p>
        </w:tc>
      </w:tr>
      <w:tr>
        <w:trPr>
          <w:cantSplit/>
        </w:trPr>
        <w:tc>
          <w:tcPr>
            <w:tcW w:type="dxa" w:w="1200"/>
            <w:vAlign w:val="center"/>
            <w:tcMar>
              <w:top w:w="90" w:type="dxa"/>
              <w:start w:w="120" w:type="dxa"/>
              <w:bottom w:w="90" w:type="dxa"/>
              <w:end w:w="120" w:type="dxa"/>
            </w:tcMar>
          </w:tcPr>
          <w:p>
            <w:pPr>
              <w:spacing w:after="40" w:line="252" w:lineRule="auto"/>
            </w:pPr>
            <w:r>
              <w:rPr>
                <w:sz w:val="18"/>
              </w:rPr>
              <w:t>Possibility</w:t>
            </w:r>
          </w:p>
        </w:tc>
        <w:tc>
          <w:tcPr>
            <w:tcW w:type="dxa" w:w="1450"/>
            <w:vAlign w:val="center"/>
            <w:tcMar>
              <w:top w:w="90" w:type="dxa"/>
              <w:start w:w="120" w:type="dxa"/>
              <w:bottom w:w="90" w:type="dxa"/>
              <w:end w:w="120" w:type="dxa"/>
            </w:tcMar>
          </w:tcPr>
          <w:p>
            <w:pPr>
              <w:spacing w:after="40" w:line="252" w:lineRule="auto"/>
            </w:pPr>
            <w:r>
              <w:rPr>
                <w:sz w:val="18"/>
              </w:rPr>
              <w:t>unscheduled</w:t>
            </w:r>
          </w:p>
        </w:tc>
        <w:tc>
          <w:tcPr>
            <w:tcW w:type="dxa" w:w="4200"/>
            <w:vAlign w:val="center"/>
            <w:tcMar>
              <w:top w:w="90" w:type="dxa"/>
              <w:start w:w="120" w:type="dxa"/>
              <w:bottom w:w="90" w:type="dxa"/>
              <w:end w:w="120" w:type="dxa"/>
            </w:tcMar>
          </w:tcPr>
          <w:p>
            <w:pPr>
              <w:spacing w:after="40" w:line="252" w:lineRule="auto"/>
            </w:pPr>
            <w:r>
              <w:rPr>
                <w:sz w:val="18"/>
              </w:rPr>
              <w:t>A question that might deserve a day.</w:t>
            </w:r>
          </w:p>
        </w:tc>
        <w:tc>
          <w:tcPr>
            <w:tcW w:type="dxa" w:w="2510"/>
            <w:vAlign w:val="center"/>
            <w:tcMar>
              <w:top w:w="90" w:type="dxa"/>
              <w:start w:w="120" w:type="dxa"/>
              <w:bottom w:w="90" w:type="dxa"/>
              <w:end w:w="120" w:type="dxa"/>
            </w:tcMar>
          </w:tcPr>
          <w:p>
            <w:pPr>
              <w:spacing w:after="40" w:line="252" w:lineRule="auto"/>
            </w:pPr>
            <w:r>
              <w:rPr>
                <w:sz w:val="18"/>
              </w:rPr>
              <w:t>Give it a day</w:t>
            </w:r>
          </w:p>
        </w:tc>
      </w:tr>
      <w:tr>
        <w:trPr>
          <w:cantSplit/>
        </w:trPr>
        <w:tc>
          <w:tcPr>
            <w:tcW w:type="dxa" w:w="1200"/>
            <w:vAlign w:val="center"/>
            <w:tcMar>
              <w:top w:w="90" w:type="dxa"/>
              <w:start w:w="120" w:type="dxa"/>
              <w:bottom w:w="90" w:type="dxa"/>
              <w:end w:w="120" w:type="dxa"/>
            </w:tcMar>
          </w:tcPr>
          <w:p>
            <w:pPr>
              <w:spacing w:after="40" w:line="252" w:lineRule="auto"/>
            </w:pPr>
            <w:r>
              <w:rPr>
                <w:sz w:val="18"/>
              </w:rPr>
              <w:t>Scheduled</w:t>
            </w:r>
          </w:p>
        </w:tc>
        <w:tc>
          <w:tcPr>
            <w:tcW w:type="dxa" w:w="1450"/>
            <w:vAlign w:val="center"/>
            <w:tcMar>
              <w:top w:w="90" w:type="dxa"/>
              <w:start w:w="120" w:type="dxa"/>
              <w:bottom w:w="90" w:type="dxa"/>
              <w:end w:w="120" w:type="dxa"/>
            </w:tcMar>
          </w:tcPr>
          <w:p>
            <w:pPr>
              <w:spacing w:after="40" w:line="252" w:lineRule="auto"/>
            </w:pPr>
            <w:r>
              <w:rPr>
                <w:sz w:val="18"/>
              </w:rPr>
              <w:t>scheduled</w:t>
            </w:r>
          </w:p>
        </w:tc>
        <w:tc>
          <w:tcPr>
            <w:tcW w:type="dxa" w:w="4200"/>
            <w:vAlign w:val="center"/>
            <w:tcMar>
              <w:top w:w="90" w:type="dxa"/>
              <w:start w:w="120" w:type="dxa"/>
              <w:bottom w:w="90" w:type="dxa"/>
              <w:end w:w="120" w:type="dxa"/>
            </w:tcMar>
          </w:tcPr>
          <w:p>
            <w:pPr>
              <w:spacing w:after="40" w:line="252" w:lineRule="auto"/>
            </w:pPr>
            <w:r>
              <w:rPr>
                <w:sz w:val="18"/>
              </w:rPr>
              <w:t>A Possibility has a local calendar date.</w:t>
            </w:r>
          </w:p>
        </w:tc>
        <w:tc>
          <w:tcPr>
            <w:tcW w:type="dxa" w:w="2510"/>
            <w:vAlign w:val="center"/>
            <w:tcMar>
              <w:top w:w="90" w:type="dxa"/>
              <w:start w:w="120" w:type="dxa"/>
              <w:bottom w:w="90" w:type="dxa"/>
              <w:end w:w="120" w:type="dxa"/>
            </w:tcMar>
          </w:tcPr>
          <w:p>
            <w:pPr>
              <w:spacing w:after="40" w:line="252" w:lineRule="auto"/>
            </w:pPr>
            <w:r>
              <w:rPr>
                <w:sz w:val="18"/>
              </w:rPr>
              <w:t>Prepare Brief</w:t>
            </w:r>
          </w:p>
        </w:tc>
      </w:tr>
      <w:tr>
        <w:trPr>
          <w:cantSplit/>
        </w:trPr>
        <w:tc>
          <w:tcPr>
            <w:tcW w:type="dxa" w:w="1200"/>
            <w:vAlign w:val="center"/>
            <w:tcMar>
              <w:top w:w="90" w:type="dxa"/>
              <w:start w:w="120" w:type="dxa"/>
              <w:bottom w:w="90" w:type="dxa"/>
              <w:end w:w="120" w:type="dxa"/>
            </w:tcMar>
          </w:tcPr>
          <w:p>
            <w:pPr>
              <w:spacing w:after="40" w:line="252" w:lineRule="auto"/>
            </w:pPr>
            <w:r>
              <w:rPr>
                <w:sz w:val="18"/>
              </w:rPr>
              <w:t>Brief</w:t>
            </w:r>
          </w:p>
        </w:tc>
        <w:tc>
          <w:tcPr>
            <w:tcW w:type="dxa" w:w="1450"/>
            <w:vAlign w:val="center"/>
            <w:tcMar>
              <w:top w:w="90" w:type="dxa"/>
              <w:start w:w="120" w:type="dxa"/>
              <w:bottom w:w="90" w:type="dxa"/>
              <w:end w:w="120" w:type="dxa"/>
            </w:tcMar>
          </w:tcPr>
          <w:p>
            <w:pPr>
              <w:spacing w:after="40" w:line="252" w:lineRule="auto"/>
            </w:pPr>
            <w:r>
              <w:rPr>
                <w:sz w:val="18"/>
              </w:rPr>
              <w:t>draft / ready</w:t>
            </w:r>
          </w:p>
        </w:tc>
        <w:tc>
          <w:tcPr>
            <w:tcW w:type="dxa" w:w="4200"/>
            <w:vAlign w:val="center"/>
            <w:tcMar>
              <w:top w:w="90" w:type="dxa"/>
              <w:start w:w="120" w:type="dxa"/>
              <w:bottom w:w="90" w:type="dxa"/>
              <w:end w:w="120" w:type="dxa"/>
            </w:tcMar>
          </w:tcPr>
          <w:p>
            <w:pPr>
              <w:spacing w:after="40" w:line="252" w:lineRule="auto"/>
            </w:pPr>
            <w:r>
              <w:rPr>
                <w:sz w:val="18"/>
              </w:rPr>
              <w:t>The before-record is being formed and autosaved.</w:t>
            </w:r>
          </w:p>
        </w:tc>
        <w:tc>
          <w:tcPr>
            <w:tcW w:type="dxa" w:w="2510"/>
            <w:vAlign w:val="center"/>
            <w:tcMar>
              <w:top w:w="90" w:type="dxa"/>
              <w:start w:w="120" w:type="dxa"/>
              <w:bottom w:w="90" w:type="dxa"/>
              <w:end w:w="120" w:type="dxa"/>
            </w:tcMar>
          </w:tcPr>
          <w:p>
            <w:pPr>
              <w:spacing w:after="40" w:line="252" w:lineRule="auto"/>
            </w:pPr>
            <w:r>
              <w:rPr>
                <w:sz w:val="18"/>
              </w:rPr>
              <w:t>Begin Obsession</w:t>
            </w:r>
          </w:p>
        </w:tc>
      </w:tr>
      <w:tr>
        <w:trPr>
          <w:cantSplit/>
        </w:trPr>
        <w:tc>
          <w:tcPr>
            <w:tcW w:type="dxa" w:w="1200"/>
            <w:vAlign w:val="center"/>
            <w:tcMar>
              <w:top w:w="90" w:type="dxa"/>
              <w:start w:w="120" w:type="dxa"/>
              <w:bottom w:w="90" w:type="dxa"/>
              <w:end w:w="120" w:type="dxa"/>
            </w:tcMar>
          </w:tcPr>
          <w:p>
            <w:pPr>
              <w:spacing w:after="40" w:line="252" w:lineRule="auto"/>
            </w:pPr>
            <w:r>
              <w:rPr>
                <w:sz w:val="18"/>
              </w:rPr>
              <w:t>Obsession Day</w:t>
            </w:r>
          </w:p>
        </w:tc>
        <w:tc>
          <w:tcPr>
            <w:tcW w:type="dxa" w:w="1450"/>
            <w:vAlign w:val="center"/>
            <w:tcMar>
              <w:top w:w="90" w:type="dxa"/>
              <w:start w:w="120" w:type="dxa"/>
              <w:bottom w:w="90" w:type="dxa"/>
              <w:end w:w="120" w:type="dxa"/>
            </w:tcMar>
          </w:tcPr>
          <w:p>
            <w:pPr>
              <w:spacing w:after="40" w:line="252" w:lineRule="auto"/>
            </w:pPr>
            <w:r>
              <w:rPr>
                <w:sz w:val="18"/>
              </w:rPr>
              <w:t>active</w:t>
            </w:r>
          </w:p>
        </w:tc>
        <w:tc>
          <w:tcPr>
            <w:tcW w:type="dxa" w:w="4200"/>
            <w:vAlign w:val="center"/>
            <w:tcMar>
              <w:top w:w="90" w:type="dxa"/>
              <w:start w:w="120" w:type="dxa"/>
              <w:bottom w:w="90" w:type="dxa"/>
              <w:end w:w="120" w:type="dxa"/>
            </w:tcMar>
          </w:tcPr>
          <w:p>
            <w:pPr>
              <w:spacing w:after="40" w:line="252" w:lineRule="auto"/>
            </w:pPr>
            <w:r>
              <w:rPr>
                <w:sz w:val="18"/>
              </w:rPr>
              <w:t>Begin was clicked; date and original Brief are frozen.</w:t>
            </w:r>
          </w:p>
        </w:tc>
        <w:tc>
          <w:tcPr>
            <w:tcW w:type="dxa" w:w="2510"/>
            <w:vAlign w:val="center"/>
            <w:tcMar>
              <w:top w:w="90" w:type="dxa"/>
              <w:start w:w="120" w:type="dxa"/>
              <w:bottom w:w="90" w:type="dxa"/>
              <w:end w:w="120" w:type="dxa"/>
            </w:tcMar>
          </w:tcPr>
          <w:p>
            <w:pPr>
              <w:spacing w:after="40" w:line="252" w:lineRule="auto"/>
            </w:pPr>
            <w:r>
              <w:rPr>
                <w:sz w:val="18"/>
              </w:rPr>
              <w:t>Close Obsession</w:t>
            </w:r>
          </w:p>
        </w:tc>
      </w:tr>
      <w:tr>
        <w:trPr>
          <w:cantSplit/>
        </w:trPr>
        <w:tc>
          <w:tcPr>
            <w:tcW w:type="dxa" w:w="1200"/>
            <w:vAlign w:val="center"/>
            <w:tcMar>
              <w:top w:w="90" w:type="dxa"/>
              <w:start w:w="120" w:type="dxa"/>
              <w:bottom w:w="90" w:type="dxa"/>
              <w:end w:w="120" w:type="dxa"/>
            </w:tcMar>
          </w:tcPr>
          <w:p>
            <w:pPr>
              <w:spacing w:after="40" w:line="252" w:lineRule="auto"/>
            </w:pPr>
            <w:r>
              <w:rPr>
                <w:sz w:val="18"/>
              </w:rPr>
              <w:t>Closeout</w:t>
            </w:r>
          </w:p>
        </w:tc>
        <w:tc>
          <w:tcPr>
            <w:tcW w:type="dxa" w:w="1450"/>
            <w:vAlign w:val="center"/>
            <w:tcMar>
              <w:top w:w="90" w:type="dxa"/>
              <w:start w:w="120" w:type="dxa"/>
              <w:bottom w:w="90" w:type="dxa"/>
              <w:end w:w="120" w:type="dxa"/>
            </w:tcMar>
          </w:tcPr>
          <w:p>
            <w:r>
              <w:t>reflecting / showing / preserving / finish-preview</w:t>
            </w:r>
          </w:p>
        </w:tc>
        <w:tc>
          <w:tcPr>
            <w:tcW w:type="dxa" w:w="4200"/>
            <w:vAlign w:val="center"/>
            <w:tcMar>
              <w:top w:w="90" w:type="dxa"/>
              <w:start w:w="120" w:type="dxa"/>
              <w:bottom w:w="90" w:type="dxa"/>
              <w:end w:w="120" w:type="dxa"/>
            </w:tcMar>
          </w:tcPr>
          <w:p>
            <w:r>
              <w:t>A resumable closing ceremony: Outcome; optional Discoveries/Story; optional Results/Open Threads; required Cover; private Archive preservation; full preview and visibility choice.</w:t>
            </w:r>
          </w:p>
        </w:tc>
        <w:tc>
          <w:tcPr>
            <w:tcW w:type="dxa" w:w="2510"/>
            <w:vAlign w:val="center"/>
            <w:tcMar>
              <w:top w:w="90" w:type="dxa"/>
              <w:start w:w="120" w:type="dxa"/>
              <w:bottom w:w="90" w:type="dxa"/>
              <w:end w:w="120" w:type="dxa"/>
            </w:tcMar>
          </w:tcPr>
          <w:p>
            <w:pPr>
              <w:spacing w:after="40" w:line="252" w:lineRule="auto"/>
            </w:pPr>
            <w:r>
              <w:rPr>
                <w:sz w:val="18"/>
              </w:rPr>
              <w:t>Finish</w:t>
            </w:r>
          </w:p>
        </w:tc>
      </w:tr>
      <w:tr>
        <w:trPr>
          <w:cantSplit/>
        </w:trPr>
        <w:tc>
          <w:tcPr>
            <w:tcW w:type="dxa" w:w="1200"/>
            <w:vAlign w:val="center"/>
            <w:tcMar>
              <w:top w:w="90" w:type="dxa"/>
              <w:start w:w="120" w:type="dxa"/>
              <w:bottom w:w="90" w:type="dxa"/>
              <w:end w:w="120" w:type="dxa"/>
            </w:tcMar>
          </w:tcPr>
          <w:p>
            <w:pPr>
              <w:spacing w:after="40" w:line="252" w:lineRule="auto"/>
            </w:pPr>
            <w:r>
              <w:rPr>
                <w:sz w:val="18"/>
              </w:rPr>
              <w:t>Completed</w:t>
            </w:r>
          </w:p>
        </w:tc>
        <w:tc>
          <w:tcPr>
            <w:tcW w:type="dxa" w:w="1450"/>
            <w:vAlign w:val="center"/>
            <w:tcMar>
              <w:top w:w="90" w:type="dxa"/>
              <w:start w:w="120" w:type="dxa"/>
              <w:bottom w:w="90" w:type="dxa"/>
              <w:end w:w="120" w:type="dxa"/>
            </w:tcMar>
          </w:tcPr>
          <w:p>
            <w:pPr>
              <w:spacing w:after="40" w:line="252" w:lineRule="auto"/>
            </w:pPr>
            <w:r>
              <w:rPr>
                <w:sz w:val="18"/>
              </w:rPr>
              <w:t>finished</w:t>
            </w:r>
          </w:p>
        </w:tc>
        <w:tc>
          <w:tcPr>
            <w:tcW w:type="dxa" w:w="4200"/>
            <w:vAlign w:val="center"/>
            <w:tcMar>
              <w:top w:w="90" w:type="dxa"/>
              <w:start w:w="120" w:type="dxa"/>
              <w:bottom w:w="90" w:type="dxa"/>
              <w:end w:w="120" w:type="dxa"/>
            </w:tcMar>
          </w:tcPr>
          <w:p>
            <w:r>
              <w:t>One completed exhibit, editable after Finish, with conceptual S/M/L views and an attached private Archive.</w:t>
            </w:r>
          </w:p>
        </w:tc>
        <w:tc>
          <w:tcPr>
            <w:tcW w:type="dxa" w:w="2510"/>
            <w:vAlign w:val="center"/>
            <w:tcMar>
              <w:top w:w="90" w:type="dxa"/>
              <w:start w:w="120" w:type="dxa"/>
              <w:bottom w:w="90" w:type="dxa"/>
              <w:end w:w="120" w:type="dxa"/>
            </w:tcMar>
          </w:tcPr>
          <w:p>
            <w:r>
              <w:t>Edit / change visibility / open Archive</w:t>
            </w:r>
          </w:p>
        </w:tc>
      </w:tr>
      <w:tr>
        <w:trPr>
          <w:cantSplit/>
        </w:trPr>
        <w:tc>
          <w:tcPr>
            <w:tcW w:type="dxa" w:w="1200"/>
            <w:vAlign w:val="center"/>
            <w:tcMar>
              <w:top w:w="90" w:type="dxa"/>
              <w:start w:w="120" w:type="dxa"/>
              <w:bottom w:w="90" w:type="dxa"/>
              <w:end w:w="120" w:type="dxa"/>
            </w:tcMar>
          </w:tcPr>
          <w:p>
            <w:r>
              <w:t>Archive</w:t>
            </w:r>
          </w:p>
        </w:tc>
        <w:tc>
          <w:tcPr>
            <w:tcW w:type="dxa" w:w="1450"/>
            <w:vAlign w:val="center"/>
            <w:tcMar>
              <w:top w:w="90" w:type="dxa"/>
              <w:start w:w="120" w:type="dxa"/>
              <w:bottom w:w="90" w:type="dxa"/>
              <w:end w:w="120" w:type="dxa"/>
            </w:tcMar>
          </w:tcPr>
          <w:p>
            <w:r>
              <w:t>private back room</w:t>
            </w:r>
          </w:p>
        </w:tc>
        <w:tc>
          <w:tcPr>
            <w:tcW w:type="dxa" w:w="4200"/>
            <w:vAlign w:val="center"/>
            <w:tcMar>
              <w:top w:w="90" w:type="dxa"/>
              <w:start w:w="120" w:type="dxa"/>
              <w:bottom w:w="90" w:type="dxa"/>
              <w:end w:w="120" w:type="dxa"/>
            </w:tcMar>
          </w:tcPr>
          <w:p>
            <w:r>
              <w:t>Frozen starting record, preserved raw material, and everything that came back; attached to its Obsession and always private.</w:t>
            </w:r>
          </w:p>
        </w:tc>
        <w:tc>
          <w:tcPr>
            <w:tcW w:type="dxa" w:w="2510"/>
            <w:vAlign w:val="center"/>
            <w:tcMar>
              <w:top w:w="90" w:type="dxa"/>
              <w:start w:w="120" w:type="dxa"/>
              <w:bottom w:w="90" w:type="dxa"/>
              <w:end w:w="120" w:type="dxa"/>
            </w:tcMar>
          </w:tcPr>
          <w:p>
            <w:r>
              <w:t>Add / organize private material</w:t>
            </w:r>
          </w:p>
        </w:tc>
      </w:tr>
    </w:tbl>
    <w:p>
      <w:pPr>
        <w:spacing w:after="0"/>
      </w:pP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t>CANONICAL DATE RULE  An Obsession Day is the local calendar date resolved at Begin from the server instant plus the user’s confirmed account/profile IANA time zone. The browser may report a mismatch but cannot silently override that confirmed zone. The historical date is permanently stored as a date value and never shifts later because the user travels or changes time zones.</w:t>
            </w:r>
          </w:p>
        </w:tc>
      </w:tr>
    </w:tbl>
    <w:p>
      <w:pPr>
        <w:spacing w:after="0"/>
      </w:pPr>
    </w:p>
    <w:p>
      <w:pPr>
        <w:pStyle w:val="Heading1"/>
      </w:pPr>
      <w:r>
        <w:t>4. Possibilities</w:t>
      </w:r>
    </w:p>
    <w:p>
      <w:pPr>
        <w:pStyle w:val="Heading2"/>
      </w:pPr>
      <w:r>
        <w:t>4.1 Purpose</w:t>
      </w:r>
    </w:p>
    <w:p>
      <w:r>
        <w:t>Possibilities are questions waiting without pressure. They are not backlog items and have no rank, due date, status score, or required plan. A Possibility may remain indefinitely, receive a day, be edited, or be let go.</w:t>
      </w:r>
    </w:p>
    <w:p>
      <w:pPr>
        <w:pStyle w:val="Heading2"/>
      </w:pPr>
      <w:r>
        <w:t>4.2 Data contract</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1900"/>
            <w:shd w:fill="E8EEF8"/>
            <w:vAlign w:val="center"/>
            <w:tcMar>
              <w:top w:w="90" w:type="dxa"/>
              <w:start w:w="120" w:type="dxa"/>
              <w:bottom w:w="90" w:type="dxa"/>
              <w:end w:w="120" w:type="dxa"/>
            </w:tcMar>
          </w:tcPr>
          <w:p>
            <w:r>
              <w:rPr>
                <w:b/>
                <w:color w:val="304B9B"/>
                <w:sz w:val="19"/>
              </w:rPr>
              <w:t>Field</w:t>
            </w:r>
          </w:p>
        </w:tc>
        <w:tc>
          <w:tcPr>
            <w:tcW w:type="dxa" w:w="1500"/>
            <w:shd w:fill="E8EEF8"/>
            <w:vAlign w:val="center"/>
            <w:tcMar>
              <w:top w:w="90" w:type="dxa"/>
              <w:start w:w="120" w:type="dxa"/>
              <w:bottom w:w="90" w:type="dxa"/>
              <w:end w:w="120" w:type="dxa"/>
            </w:tcMar>
          </w:tcPr>
          <w:p>
            <w:r>
              <w:rPr>
                <w:b/>
                <w:color w:val="304B9B"/>
                <w:sz w:val="19"/>
              </w:rPr>
              <w:t>Requirement</w:t>
            </w:r>
          </w:p>
        </w:tc>
        <w:tc>
          <w:tcPr>
            <w:tcW w:type="dxa" w:w="5960"/>
            <w:shd w:fill="E8EEF8"/>
            <w:vAlign w:val="center"/>
            <w:tcMar>
              <w:top w:w="90" w:type="dxa"/>
              <w:start w:w="120" w:type="dxa"/>
              <w:bottom w:w="90" w:type="dxa"/>
              <w:end w:w="120" w:type="dxa"/>
            </w:tcMar>
          </w:tcPr>
          <w:p>
            <w:r>
              <w:rPr>
                <w:b/>
                <w:color w:val="304B9B"/>
                <w:sz w:val="19"/>
              </w:rPr>
              <w:t>Behavior</w:t>
            </w:r>
          </w:p>
        </w:tc>
      </w:tr>
      <w:tr>
        <w:trPr>
          <w:cantSplit/>
        </w:trPr>
        <w:tc>
          <w:tcPr>
            <w:tcW w:type="dxa" w:w="1900"/>
            <w:vAlign w:val="center"/>
            <w:tcMar>
              <w:top w:w="90" w:type="dxa"/>
              <w:start w:w="120" w:type="dxa"/>
              <w:bottom w:w="90" w:type="dxa"/>
              <w:end w:w="120" w:type="dxa"/>
            </w:tcMar>
          </w:tcPr>
          <w:p>
            <w:pPr>
              <w:spacing w:after="40" w:line="252" w:lineRule="auto"/>
            </w:pPr>
            <w:r>
              <w:t>Question</w:t>
            </w:r>
          </w:p>
        </w:tc>
        <w:tc>
          <w:tcPr>
            <w:tcW w:type="dxa" w:w="1500"/>
            <w:vAlign w:val="center"/>
            <w:tcMar>
              <w:top w:w="90" w:type="dxa"/>
              <w:start w:w="120" w:type="dxa"/>
              <w:bottom w:w="90" w:type="dxa"/>
              <w:end w:w="120" w:type="dxa"/>
            </w:tcMar>
          </w:tcPr>
          <w:p>
            <w:pPr>
              <w:spacing w:after="40" w:line="252" w:lineRule="auto"/>
            </w:pPr>
            <w:r>
              <w:rPr>
                <w:sz w:val="18"/>
              </w:rPr>
              <w:t>Required</w:t>
            </w:r>
          </w:p>
        </w:tc>
        <w:tc>
          <w:tcPr>
            <w:tcW w:type="dxa" w:w="5960"/>
            <w:vAlign w:val="center"/>
            <w:tcMar>
              <w:top w:w="90" w:type="dxa"/>
              <w:start w:w="120" w:type="dxa"/>
              <w:bottom w:w="90" w:type="dxa"/>
              <w:end w:w="120" w:type="dxa"/>
            </w:tcMar>
          </w:tcPr>
          <w:p>
            <w:pPr>
              <w:spacing w:after="40" w:line="252" w:lineRule="auto"/>
            </w:pPr>
            <w:r>
              <w:rPr>
                <w:sz w:val="18"/>
              </w:rPr>
              <w:t>The singular question or focus that could receive a day. Plain text.</w:t>
            </w:r>
          </w:p>
        </w:tc>
      </w:tr>
      <w:tr>
        <w:trPr>
          <w:cantSplit/>
        </w:trPr>
        <w:tc>
          <w:tcPr>
            <w:tcW w:type="dxa" w:w="1900"/>
            <w:vAlign w:val="center"/>
            <w:tcMar>
              <w:top w:w="90" w:type="dxa"/>
              <w:start w:w="120" w:type="dxa"/>
              <w:bottom w:w="90" w:type="dxa"/>
              <w:end w:w="120" w:type="dxa"/>
            </w:tcMar>
          </w:tcPr>
          <w:p>
            <w:pPr>
              <w:spacing w:after="40" w:line="252" w:lineRule="auto"/>
            </w:pPr>
            <w:r>
              <w:rPr>
                <w:sz w:val="18"/>
              </w:rPr>
              <w:t>Notes / context</w:t>
            </w:r>
          </w:p>
        </w:tc>
        <w:tc>
          <w:tcPr>
            <w:tcW w:type="dxa" w:w="1500"/>
            <w:vAlign w:val="center"/>
            <w:tcMar>
              <w:top w:w="90" w:type="dxa"/>
              <w:start w:w="120" w:type="dxa"/>
              <w:bottom w:w="90" w:type="dxa"/>
              <w:end w:w="120" w:type="dxa"/>
            </w:tcMar>
          </w:tcPr>
          <w:p>
            <w:pPr>
              <w:spacing w:after="40" w:line="252" w:lineRule="auto"/>
            </w:pPr>
            <w:r>
              <w:rPr>
                <w:sz w:val="18"/>
              </w:rPr>
              <w:t>Optional</w:t>
            </w:r>
          </w:p>
        </w:tc>
        <w:tc>
          <w:tcPr>
            <w:tcW w:type="dxa" w:w="5960"/>
            <w:vAlign w:val="center"/>
            <w:tcMar>
              <w:top w:w="90" w:type="dxa"/>
              <w:start w:w="120" w:type="dxa"/>
              <w:bottom w:w="90" w:type="dxa"/>
              <w:end w:w="120" w:type="dxa"/>
            </w:tcMar>
          </w:tcPr>
          <w:p>
            <w:pPr>
              <w:spacing w:after="40" w:line="252" w:lineRule="auto"/>
            </w:pPr>
            <w:r>
              <w:rPr>
                <w:sz w:val="18"/>
              </w:rPr>
              <w:t>One freeform area; no imposed template or classification.</w:t>
            </w:r>
          </w:p>
        </w:tc>
      </w:tr>
      <w:tr>
        <w:trPr>
          <w:cantSplit/>
        </w:trPr>
        <w:tc>
          <w:tcPr>
            <w:tcW w:type="dxa" w:w="1900"/>
            <w:vAlign w:val="center"/>
            <w:tcMar>
              <w:top w:w="90" w:type="dxa"/>
              <w:start w:w="120" w:type="dxa"/>
              <w:bottom w:w="90" w:type="dxa"/>
              <w:end w:w="120" w:type="dxa"/>
            </w:tcMar>
          </w:tcPr>
          <w:p>
            <w:pPr>
              <w:spacing w:after="40" w:line="252" w:lineRule="auto"/>
            </w:pPr>
            <w:r>
              <w:rPr>
                <w:sz w:val="18"/>
              </w:rPr>
              <w:t>Attachments</w:t>
            </w:r>
          </w:p>
        </w:tc>
        <w:tc>
          <w:tcPr>
            <w:tcW w:type="dxa" w:w="1500"/>
            <w:vAlign w:val="center"/>
            <w:tcMar>
              <w:top w:w="90" w:type="dxa"/>
              <w:start w:w="120" w:type="dxa"/>
              <w:bottom w:w="90" w:type="dxa"/>
              <w:end w:w="120" w:type="dxa"/>
            </w:tcMar>
          </w:tcPr>
          <w:p>
            <w:pPr>
              <w:spacing w:after="40" w:line="252" w:lineRule="auto"/>
            </w:pPr>
            <w:r>
              <w:rPr>
                <w:sz w:val="18"/>
              </w:rPr>
              <w:t>Optional</w:t>
            </w:r>
          </w:p>
        </w:tc>
        <w:tc>
          <w:tcPr>
            <w:tcW w:type="dxa" w:w="5960"/>
            <w:vAlign w:val="center"/>
            <w:tcMar>
              <w:top w:w="90" w:type="dxa"/>
              <w:start w:w="120" w:type="dxa"/>
              <w:bottom w:w="90" w:type="dxa"/>
              <w:end w:w="120" w:type="dxa"/>
            </w:tcMar>
          </w:tcPr>
          <w:p>
            <w:pPr>
              <w:spacing w:after="40" w:line="252" w:lineRule="auto"/>
            </w:pPr>
            <w:r>
              <w:rPr>
                <w:sz w:val="18"/>
              </w:rPr>
              <w:t>Zero or more files/links; carried into the Brief when given a day.</w:t>
            </w:r>
          </w:p>
        </w:tc>
      </w:tr>
      <w:tr>
        <w:trPr>
          <w:cantSplit/>
        </w:trPr>
        <w:tc>
          <w:tcPr>
            <w:tcW w:type="dxa" w:w="1900"/>
            <w:vAlign w:val="center"/>
            <w:tcMar>
              <w:top w:w="90" w:type="dxa"/>
              <w:start w:w="120" w:type="dxa"/>
              <w:bottom w:w="90" w:type="dxa"/>
              <w:end w:w="120" w:type="dxa"/>
            </w:tcMar>
          </w:tcPr>
          <w:p>
            <w:pPr>
              <w:spacing w:after="40" w:line="252" w:lineRule="auto"/>
            </w:pPr>
            <w:r>
              <w:rPr>
                <w:sz w:val="18"/>
              </w:rPr>
              <w:t>Declared relationships</w:t>
            </w:r>
          </w:p>
        </w:tc>
        <w:tc>
          <w:tcPr>
            <w:tcW w:type="dxa" w:w="1500"/>
            <w:vAlign w:val="center"/>
            <w:tcMar>
              <w:top w:w="90" w:type="dxa"/>
              <w:start w:w="120" w:type="dxa"/>
              <w:bottom w:w="90" w:type="dxa"/>
              <w:end w:w="120" w:type="dxa"/>
            </w:tcMar>
          </w:tcPr>
          <w:p>
            <w:pPr>
              <w:spacing w:after="40" w:line="252" w:lineRule="auto"/>
            </w:pPr>
            <w:r>
              <w:rPr>
                <w:sz w:val="18"/>
              </w:rPr>
              <w:t>Optional</w:t>
            </w:r>
          </w:p>
        </w:tc>
        <w:tc>
          <w:tcPr>
            <w:tcW w:type="dxa" w:w="5960"/>
            <w:vAlign w:val="center"/>
            <w:tcMar>
              <w:top w:w="90" w:type="dxa"/>
              <w:start w:w="120" w:type="dxa"/>
              <w:bottom w:w="90" w:type="dxa"/>
              <w:end w:w="120" w:type="dxa"/>
            </w:tcMar>
          </w:tcPr>
          <w:p>
            <w:pPr>
              <w:spacing w:after="40" w:line="252" w:lineRule="auto"/>
            </w:pPr>
            <w:r>
              <w:t>Manual links created through Related to… / the relationship picker, or explicit lineage recorded when the person chooses Save as Possibility on an Open Thread; never inferred, recommended, or independently created.</w:t>
            </w:r>
          </w:p>
        </w:tc>
      </w:tr>
      <w:tr>
        <w:trPr>
          <w:cantSplit/>
        </w:trPr>
        <w:tc>
          <w:tcPr>
            <w:tcW w:type="dxa" w:w="1900"/>
            <w:vAlign w:val="center"/>
            <w:tcMar>
              <w:top w:w="90" w:type="dxa"/>
              <w:start w:w="120" w:type="dxa"/>
              <w:bottom w:w="90" w:type="dxa"/>
              <w:end w:w="120" w:type="dxa"/>
            </w:tcMar>
          </w:tcPr>
          <w:p>
            <w:pPr>
              <w:spacing w:after="40" w:line="252" w:lineRule="auto"/>
            </w:pPr>
            <w:r>
              <w:rPr>
                <w:sz w:val="18"/>
              </w:rPr>
              <w:t>Created / updated timestamps</w:t>
            </w:r>
          </w:p>
        </w:tc>
        <w:tc>
          <w:tcPr>
            <w:tcW w:type="dxa" w:w="1500"/>
            <w:vAlign w:val="center"/>
            <w:tcMar>
              <w:top w:w="90" w:type="dxa"/>
              <w:start w:w="120" w:type="dxa"/>
              <w:bottom w:w="90" w:type="dxa"/>
              <w:end w:w="120" w:type="dxa"/>
            </w:tcMar>
          </w:tcPr>
          <w:p>
            <w:pPr>
              <w:spacing w:after="40" w:line="252" w:lineRule="auto"/>
            </w:pPr>
            <w:r>
              <w:rPr>
                <w:sz w:val="18"/>
              </w:rPr>
              <w:t>System</w:t>
            </w:r>
          </w:p>
        </w:tc>
        <w:tc>
          <w:tcPr>
            <w:tcW w:type="dxa" w:w="5960"/>
            <w:vAlign w:val="center"/>
            <w:tcMar>
              <w:top w:w="90" w:type="dxa"/>
              <w:start w:w="120" w:type="dxa"/>
              <w:bottom w:w="90" w:type="dxa"/>
              <w:end w:w="120" w:type="dxa"/>
            </w:tcMar>
          </w:tcPr>
          <w:p>
            <w:pPr>
              <w:spacing w:after="40" w:line="252" w:lineRule="auto"/>
            </w:pPr>
            <w:r>
              <w:rPr>
                <w:sz w:val="18"/>
              </w:rPr>
              <w:t>Operational metadata; not shown as productivity information.</w:t>
            </w:r>
          </w:p>
        </w:tc>
      </w:tr>
      <w:tr>
        <w:trPr>
          <w:cantSplit/>
        </w:trPr>
        <w:tc>
          <w:tcPr>
            <w:tcW w:type="dxa" w:w="1900"/>
            <w:vAlign w:val="center"/>
            <w:tcMar>
              <w:top w:w="90" w:type="dxa"/>
              <w:start w:w="120" w:type="dxa"/>
              <w:bottom w:w="90" w:type="dxa"/>
              <w:end w:w="120" w:type="dxa"/>
            </w:tcMar>
          </w:tcPr>
          <w:p>
            <w:pPr>
              <w:spacing w:after="40" w:line="252" w:lineRule="auto"/>
            </w:pPr>
            <w:r>
              <w:rPr>
                <w:sz w:val="18"/>
              </w:rPr>
              <w:t>Scheduled date</w:t>
            </w:r>
          </w:p>
        </w:tc>
        <w:tc>
          <w:tcPr>
            <w:tcW w:type="dxa" w:w="1500"/>
            <w:vAlign w:val="center"/>
            <w:tcMar>
              <w:top w:w="90" w:type="dxa"/>
              <w:start w:w="120" w:type="dxa"/>
              <w:bottom w:w="90" w:type="dxa"/>
              <w:end w:w="120" w:type="dxa"/>
            </w:tcMar>
          </w:tcPr>
          <w:p>
            <w:pPr>
              <w:spacing w:after="40" w:line="252" w:lineRule="auto"/>
            </w:pPr>
            <w:r>
              <w:rPr>
                <w:sz w:val="18"/>
              </w:rPr>
              <w:t>Optional until scheduled</w:t>
            </w:r>
          </w:p>
        </w:tc>
        <w:tc>
          <w:tcPr>
            <w:tcW w:type="dxa" w:w="5960"/>
            <w:vAlign w:val="center"/>
            <w:tcMar>
              <w:top w:w="90" w:type="dxa"/>
              <w:start w:w="120" w:type="dxa"/>
              <w:bottom w:w="90" w:type="dxa"/>
              <w:end w:w="120" w:type="dxa"/>
            </w:tcMar>
          </w:tcPr>
          <w:p>
            <w:pPr>
              <w:spacing w:after="40" w:line="252" w:lineRule="auto"/>
            </w:pPr>
            <w:r>
              <w:rPr>
                <w:sz w:val="18"/>
              </w:rPr>
              <w:t>A local calendar date; assigning it changes lifecycle state.</w:t>
            </w:r>
          </w:p>
        </w:tc>
      </w:tr>
    </w:tbl>
    <w:p>
      <w:pPr>
        <w:spacing w:after="0"/>
      </w:pPr>
    </w:p>
    <w:p>
      <w:pPr>
        <w:pStyle w:val="Heading2"/>
      </w:pPr>
      <w:r>
        <w:t>4.3 Actions</w:t>
      </w:r>
    </w:p>
    <w:p>
      <w:pPr>
        <w:pStyle w:val="ListBullet"/>
      </w:pPr>
      <w:r>
        <w:t xml:space="preserve"> Create Possibility from the primary capture action with only the question required.</w:t>
      </w:r>
    </w:p>
    <w:p>
      <w:pPr>
        <w:pStyle w:val="ListBullet"/>
      </w:pPr>
      <w:r>
        <w:t xml:space="preserve"> Edit question, notes/context, attachments, and declared relationships before Begin.</w:t>
      </w:r>
    </w:p>
    <w:p>
      <w:pPr>
        <w:pStyle w:val="ListBullet"/>
      </w:pPr>
      <w:r>
        <w:t xml:space="preserve"> Give it a day through the near-term date chooser.</w:t>
      </w:r>
    </w:p>
    <w:p>
      <w:pPr>
        <w:pStyle w:val="ListBullet"/>
      </w:pPr>
      <w:r>
        <w:t>Let it go. This removes the Possibility from the active Possibilities collection calmly and without implying failure, cancellation, or overdue work. Permanent deletion remains a separate, deliberate Settings/data-control function, not the ordinary Possibility action.</w:t>
      </w:r>
    </w:p>
    <w:p>
      <w:pPr/>
      <w:r>
        <w:t>Surface placement: S04 Possibilities exposes Create and Open only. Opening a Possibility enters S05 Possibility Detail, where Edit, Give it a day, and Let it go are presented.</w:t>
      </w:r>
    </w:p>
    <w:p>
      <w:pPr>
        <w:pStyle w:val="Heading2"/>
      </w:pPr>
      <w:r>
        <w:t>4.4 Edge behavior</w:t>
      </w:r>
    </w:p>
    <w:p>
      <w:pPr>
        <w:pStyle w:val="ListBullet"/>
      </w:pPr>
      <w:r>
        <w:t xml:space="preserve"> An empty question cannot be saved as a new Possibility.</w:t>
      </w:r>
    </w:p>
    <w:p>
      <w:pPr>
        <w:pStyle w:val="ListBullet"/>
      </w:pPr>
      <w:r>
        <w:t xml:space="preserve"> Attachment failure must not erase already entered text; show retry/remove for the failed attachment.</w:t>
      </w:r>
    </w:p>
    <w:p>
      <w:pPr>
        <w:pStyle w:val="ListBullet"/>
      </w:pPr>
      <w:r>
        <w:t xml:space="preserve"> Unscheduling returns the record to Possibilities and preserves its content.</w:t>
      </w:r>
    </w:p>
    <w:p>
      <w:pPr>
        <w:pStyle w:val="ListBullet"/>
      </w:pPr>
      <w:r>
        <w:t>If a declared relationship endpoint is permanently deleted, the relationship remains a known human declaration through a deleted/tombstoned endpoint reference; validity never depends on Archive state or content.</w:t>
      </w:r>
    </w:p>
    <w:p>
      <w:pPr>
        <w:pStyle w:val="Heading1"/>
      </w:pPr>
      <w:r>
        <w:t>5. Scheduling and near-term philosophy</w:t>
      </w:r>
    </w:p>
    <w:p>
      <w:pPr>
        <w:pStyle w:val="Heading2"/>
      </w:pPr>
      <w:r>
        <w:t>5.1 Philosophy</w:t>
      </w:r>
    </w:p>
    <w:p>
      <w:r>
        <w:t>Scheduling is an act of giving a question a nearby day, not building a long-range production plan. The Schedule should emphasize approximately the next 14 local calendar days and the meaning of the commitment. Farther dates remain possible through a secondary extended-date action, but the default surface must remain near-term, quiet, and date-led.</w:t>
      </w:r>
    </w:p>
    <w:p>
      <w:r>
        <w:t>There are two symmetric scheduling entry paths. Possibility-first: from S05 Possibility Detail, the person chooses Give it a day, enters S07 Give It a Day, chooses a date, and confirms scheduling. Day-first: from S06 Schedule, the person chooses an eligible empty date, deliberately selects an existing unscheduled Possibility, and schedules it directly onto that date through the same protected scheduling operation and validation.</w:t>
      </w:r>
    </w:p>
    <w:p>
      <w:r>
        <w:t>In the S06 day-first path, the empty-date chooser lists only unscheduled Possibilities, provides no Possibility management, and cannot create a new Possibility. Nothing is scheduled until the person deliberately selects a Question. Dismissing the chooser leaves the day unchanged. After successful scheduling, the person remains on Schedule. Because both the day and Possibility have already been deliberately selected, this path does not route through S07. S07 remains the canonical Possibility-first date-choice surface.</w:t>
      </w:r>
    </w:p>
    <w:p>
      <w:pPr>
        <w:pStyle w:val="ListBullet"/>
      </w:pPr>
      <w:r>
        <w:t xml:space="preserve"> No backlog grooming, priority lanes, calendar density, capacity math, or recurring Obsessions.</w:t>
      </w:r>
    </w:p>
    <w:p>
      <w:pPr>
        <w:pStyle w:val="ListBullet"/>
      </w:pPr>
      <w:r>
        <w:t xml:space="preserve"> A date is provisional until Begin Obsession. Rescheduling before Begin is allowed and preserves the Possibility and Brief draft.</w:t>
      </w:r>
    </w:p>
    <w:p>
      <w:pPr>
        <w:pStyle w:val="ListBullet"/>
      </w:pPr>
      <w:r>
        <w:t>Before Begin Obsession, an occupied scheduled date may use the normal Replace / Move / Return behavior: the user may replace its scheduled Possibility with another Possibility, move it to another eligible day, or return it to Possibilities. After Begin, that date belongs to the resulting Obsession and is no longer available for replacement or another scheduled Possibility.</w:t>
      </w:r>
    </w:p>
    <w:p>
      <w:pPr>
        <w:pStyle w:val="ListBullet"/>
      </w:pPr>
      <w:r>
        <w:t>A single local calendar day may have at most one scheduled Possibility. Separately, a person may have at most one actual Obsession for a local calendar date. A date that already contains an Active, Closeout, or Finished Obsession is locked and cannot receive another scheduled Possibility. Scheduling represents the user’s one current intention for that day, not a shortlist of candidates.</w:t>
      </w:r>
    </w:p>
    <w:p>
      <w:pPr>
        <w:pStyle w:val="ListBullet"/>
      </w:pPr>
      <w:r>
        <w:t>A missed scheduled date remains Not begun. It never rolls forward automatically; the person may explicitly reschedule it or return it to Possibilities.</w:t>
      </w:r>
    </w:p>
    <w:p>
      <w:pPr>
        <w:pStyle w:val="Heading2"/>
      </w:pPr>
      <w:r>
        <w:t>5.2 Scheduling validation</w:t>
      </w:r>
    </w:p>
    <w:p>
      <w:r>
        <w:t>Before confirming a date, the system verifies both that the target day has no other scheduled Possibility and that it contains no actual Active, Closeout, or Finished Obsession, then checks only declared relationships against the immediately preceding local calendar day. If the target day has only its one scheduled Possibility and Begin has not occurred, the user must explicitly replace it, move either Possibility to another eligible day, or return one to Possibilities. If an actual Obsession already occupies the date, the date is locked and unavailable for scheduling or replacement. Older unfinished Obsessions from other historical dates remain allowed and resumable. The one-scheduled-Possibility rule and one-actual-Obsession rule are separate invariants. The system does not compare titles, notes, embeddings, categories, attachments, or inferred semantic similarity.</w:t>
      </w:r>
    </w:p>
    <w:p>
      <w:pPr>
        <w:pStyle w:val="Heading1"/>
      </w:pPr>
      <w:r>
        <w:t>6. Human-declared relationships and spacing rule</w:t>
      </w:r>
    </w:p>
    <w:p>
      <w:pPr>
        <w:pStyle w:val="Heading2"/>
      </w:pPr>
      <w:r>
        <w:t>6.1 Relationship model</w:t>
      </w:r>
    </w:p>
    <w:p>
      <w:r>
        <w:t>Relationships exist only through explicit human action. ObsessOS never infers, recommends, or independently creates them. Personal v0.1 supports two such actions: the person deliberately uses ‘Related to…’ / the relationship picker, or deliberately chooses Save as Possibility on an Open Thread. In the second case, that action itself is the person’s explicit declaration of lineage to the source Obsession; the system records the relationship as part of carrying out that declared action. This is not inference or autonomous relationship creation.</w:t>
      </w: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rPr>
                <w:b/>
                <w:color w:val="304B9B"/>
                <w:sz w:val="18"/>
              </w:rPr>
              <w:t xml:space="preserve">NO INFERENCE  </w:t>
            </w:r>
            <w:r>
              <w:rPr>
                <w:sz w:val="20"/>
              </w:rPr>
              <w:t>Similarity is not relationship. The same words, project, client, attachment, or topic do not create a relationship unless the user declares one.</w:t>
            </w:r>
          </w:p>
        </w:tc>
      </w:tr>
    </w:tbl>
    <w:p>
      <w:pPr>
        <w:spacing w:after="0"/>
      </w:pPr>
    </w:p>
    <w:p>
      <w:pPr>
        <w:pStyle w:val="Heading2"/>
      </w:pPr>
      <w:r>
        <w:t>6.2 No-consecutive-related-Obsessions rule</w:t>
      </w:r>
    </w:p>
    <w:p>
      <w:r>
        <w:t>A new Obsession may not begin on the local calendar day immediately following a prior Obsession to which the user has declared it related. At least one intervening local calendar day is required. This applies to a continuation, subdivision, or another Obsession the person declares part of the same thread.</w:t>
      </w:r>
    </w:p>
    <w:p>
      <w:pPr>
        <w:pStyle w:val="ListBullet"/>
      </w:pPr>
      <w:r>
        <w:t xml:space="preserve"> The same client or project may appear on consecutive days when the second Obsession is genuinely independent and no relationship is declared.</w:t>
      </w:r>
    </w:p>
    <w:p>
      <w:pPr>
        <w:pStyle w:val="ListBullet"/>
      </w:pPr>
      <w:r>
        <w:t xml:space="preserve"> The rule is based on declared relationship plus stored Obsession Day dates—not text matching.</w:t>
      </w:r>
    </w:p>
    <w:p>
      <w:pPr>
        <w:pStyle w:val="ListBullet"/>
      </w:pPr>
      <w:r>
        <w:t xml:space="preserve"> The rule is enforced again at Begin, because relationships or dates may have changed since scheduling.</w:t>
      </w:r>
    </w:p>
    <w:p>
      <w:pPr>
        <w:pStyle w:val="ListBullet"/>
      </w:pPr>
      <w:r>
        <w:t xml:space="preserve"> A blocked Begin explains the exact prior related Obsession and offers: choose another Possibility, reschedule, or remove/correct the declared relationship. There is no override that silently violates the rule.</w:t>
      </w:r>
    </w:p>
    <w:p>
      <w:pPr>
        <w:pStyle w:val="ListBullet"/>
      </w:pPr>
      <w:r>
        <w:t xml:space="preserve"> Multiple older unclosed Obsessions do not trigger this spacing rule merely because they remain open.</w:t>
      </w:r>
    </w:p>
    <w:p>
      <w:pPr>
        <w:pStyle w:val="Heading2"/>
      </w:pPr>
      <w:r>
        <w:t>6.3 Date examples</w:t>
      </w:r>
    </w:p>
    <w:tbl>
      <w:tblPr>
        <w:tblStyle w:val="TableGrid"/>
        <w:tblW w:type="auto" w:w="0"/>
        <w:jc w:val="left"/>
        <w:tblLayout w:type="fixed"/>
        <w:tblLook w:firstColumn="1" w:firstRow="1" w:lastColumn="0" w:lastRow="0" w:noHBand="0" w:noVBand="1" w:val="04A0"/>
      </w:tblPr>
      <w:tblGrid>
        <w:gridCol w:w="2412"/>
        <w:gridCol w:w="2412"/>
        <w:gridCol w:w="2412"/>
        <w:gridCol w:w="2412"/>
      </w:tblGrid>
      <w:tr>
        <w:trPr>
          <w:tblHeader w:val="true"/>
          <w:cantSplit/>
          <w:cantSplit/>
        </w:trPr>
        <w:tc>
          <w:tcPr>
            <w:tcW w:type="dxa" w:w="1550"/>
            <w:shd w:fill="E8EEF8"/>
            <w:vAlign w:val="center"/>
            <w:tcMar>
              <w:top w:w="90" w:type="dxa"/>
              <w:start w:w="120" w:type="dxa"/>
              <w:bottom w:w="90" w:type="dxa"/>
              <w:end w:w="120" w:type="dxa"/>
            </w:tcMar>
          </w:tcPr>
          <w:p>
            <w:r>
              <w:rPr>
                <w:b/>
                <w:color w:val="304B9B"/>
                <w:sz w:val="19"/>
              </w:rPr>
              <w:t>Prior day</w:t>
            </w:r>
          </w:p>
        </w:tc>
        <w:tc>
          <w:tcPr>
            <w:tcW w:type="dxa" w:w="1550"/>
            <w:shd w:fill="E8EEF8"/>
            <w:vAlign w:val="center"/>
            <w:tcMar>
              <w:top w:w="90" w:type="dxa"/>
              <w:start w:w="120" w:type="dxa"/>
              <w:bottom w:w="90" w:type="dxa"/>
              <w:end w:w="120" w:type="dxa"/>
            </w:tcMar>
          </w:tcPr>
          <w:p>
            <w:r>
              <w:rPr>
                <w:b/>
                <w:color w:val="304B9B"/>
                <w:sz w:val="19"/>
              </w:rPr>
              <w:t>New day</w:t>
            </w:r>
          </w:p>
        </w:tc>
        <w:tc>
          <w:tcPr>
            <w:tcW w:type="dxa" w:w="2200"/>
            <w:shd w:fill="E8EEF8"/>
            <w:vAlign w:val="center"/>
            <w:tcMar>
              <w:top w:w="90" w:type="dxa"/>
              <w:start w:w="120" w:type="dxa"/>
              <w:bottom w:w="90" w:type="dxa"/>
              <w:end w:w="120" w:type="dxa"/>
            </w:tcMar>
          </w:tcPr>
          <w:p>
            <w:r>
              <w:rPr>
                <w:b/>
                <w:color w:val="304B9B"/>
                <w:sz w:val="19"/>
              </w:rPr>
              <w:t>Declared relationship?</w:t>
            </w:r>
          </w:p>
        </w:tc>
        <w:tc>
          <w:tcPr>
            <w:tcW w:type="dxa" w:w="4060"/>
            <w:shd w:fill="E8EEF8"/>
            <w:vAlign w:val="center"/>
            <w:tcMar>
              <w:top w:w="90" w:type="dxa"/>
              <w:start w:w="120" w:type="dxa"/>
              <w:bottom w:w="90" w:type="dxa"/>
              <w:end w:w="120" w:type="dxa"/>
            </w:tcMar>
          </w:tcPr>
          <w:p>
            <w:r>
              <w:rPr>
                <w:b/>
                <w:color w:val="304B9B"/>
                <w:sz w:val="19"/>
              </w:rPr>
              <w:t>Result</w:t>
            </w:r>
          </w:p>
        </w:tc>
      </w:tr>
      <w:tr>
        <w:trPr>
          <w:cantSplit/>
        </w:trPr>
        <w:tc>
          <w:tcPr>
            <w:tcW w:type="dxa" w:w="1550"/>
            <w:vAlign w:val="center"/>
            <w:tcMar>
              <w:top w:w="90" w:type="dxa"/>
              <w:start w:w="120" w:type="dxa"/>
              <w:bottom w:w="90" w:type="dxa"/>
              <w:end w:w="120" w:type="dxa"/>
            </w:tcMar>
          </w:tcPr>
          <w:p>
            <w:pPr>
              <w:spacing w:after="40" w:line="252" w:lineRule="auto"/>
            </w:pPr>
            <w:r>
              <w:rPr>
                <w:sz w:val="18"/>
              </w:rPr>
              <w:t>Monday</w:t>
            </w:r>
          </w:p>
        </w:tc>
        <w:tc>
          <w:tcPr>
            <w:tcW w:type="dxa" w:w="1550"/>
            <w:vAlign w:val="center"/>
            <w:tcMar>
              <w:top w:w="90" w:type="dxa"/>
              <w:start w:w="120" w:type="dxa"/>
              <w:bottom w:w="90" w:type="dxa"/>
              <w:end w:w="120" w:type="dxa"/>
            </w:tcMar>
          </w:tcPr>
          <w:p>
            <w:pPr>
              <w:spacing w:after="40" w:line="252" w:lineRule="auto"/>
            </w:pPr>
            <w:r>
              <w:rPr>
                <w:sz w:val="18"/>
              </w:rPr>
              <w:t>Tuesday</w:t>
            </w:r>
          </w:p>
        </w:tc>
        <w:tc>
          <w:tcPr>
            <w:tcW w:type="dxa" w:w="2200"/>
            <w:vAlign w:val="center"/>
            <w:tcMar>
              <w:top w:w="90" w:type="dxa"/>
              <w:start w:w="120" w:type="dxa"/>
              <w:bottom w:w="90" w:type="dxa"/>
              <w:end w:w="120" w:type="dxa"/>
            </w:tcMar>
          </w:tcPr>
          <w:p>
            <w:pPr>
              <w:spacing w:after="40" w:line="252" w:lineRule="auto"/>
            </w:pPr>
            <w:r>
              <w:rPr>
                <w:sz w:val="18"/>
              </w:rPr>
              <w:t>Yes</w:t>
            </w:r>
          </w:p>
        </w:tc>
        <w:tc>
          <w:tcPr>
            <w:tcW w:type="dxa" w:w="4060"/>
            <w:vAlign w:val="center"/>
            <w:tcMar>
              <w:top w:w="90" w:type="dxa"/>
              <w:start w:w="120" w:type="dxa"/>
              <w:bottom w:w="90" w:type="dxa"/>
              <w:end w:w="120" w:type="dxa"/>
            </w:tcMar>
          </w:tcPr>
          <w:p>
            <w:pPr>
              <w:spacing w:after="40" w:line="252" w:lineRule="auto"/>
            </w:pPr>
            <w:r>
              <w:rPr>
                <w:sz w:val="18"/>
              </w:rPr>
              <w:t>Blocked; requires at least Wednesday.</w:t>
            </w:r>
          </w:p>
        </w:tc>
      </w:tr>
      <w:tr>
        <w:trPr>
          <w:cantSplit/>
        </w:trPr>
        <w:tc>
          <w:tcPr>
            <w:tcW w:type="dxa" w:w="1550"/>
            <w:vAlign w:val="center"/>
            <w:tcMar>
              <w:top w:w="90" w:type="dxa"/>
              <w:start w:w="120" w:type="dxa"/>
              <w:bottom w:w="90" w:type="dxa"/>
              <w:end w:w="120" w:type="dxa"/>
            </w:tcMar>
          </w:tcPr>
          <w:p>
            <w:pPr>
              <w:spacing w:after="40" w:line="252" w:lineRule="auto"/>
            </w:pPr>
            <w:r>
              <w:rPr>
                <w:sz w:val="18"/>
              </w:rPr>
              <w:t>Monday</w:t>
            </w:r>
          </w:p>
        </w:tc>
        <w:tc>
          <w:tcPr>
            <w:tcW w:type="dxa" w:w="1550"/>
            <w:vAlign w:val="center"/>
            <w:tcMar>
              <w:top w:w="90" w:type="dxa"/>
              <w:start w:w="120" w:type="dxa"/>
              <w:bottom w:w="90" w:type="dxa"/>
              <w:end w:w="120" w:type="dxa"/>
            </w:tcMar>
          </w:tcPr>
          <w:p>
            <w:pPr>
              <w:spacing w:after="40" w:line="252" w:lineRule="auto"/>
            </w:pPr>
            <w:r>
              <w:rPr>
                <w:sz w:val="18"/>
              </w:rPr>
              <w:t>Tuesday</w:t>
            </w:r>
          </w:p>
        </w:tc>
        <w:tc>
          <w:tcPr>
            <w:tcW w:type="dxa" w:w="2200"/>
            <w:vAlign w:val="center"/>
            <w:tcMar>
              <w:top w:w="90" w:type="dxa"/>
              <w:start w:w="120" w:type="dxa"/>
              <w:bottom w:w="90" w:type="dxa"/>
              <w:end w:w="120" w:type="dxa"/>
            </w:tcMar>
          </w:tcPr>
          <w:p>
            <w:pPr>
              <w:spacing w:after="40" w:line="252" w:lineRule="auto"/>
            </w:pPr>
            <w:r>
              <w:rPr>
                <w:sz w:val="18"/>
              </w:rPr>
              <w:t>No</w:t>
            </w:r>
          </w:p>
        </w:tc>
        <w:tc>
          <w:tcPr>
            <w:tcW w:type="dxa" w:w="4060"/>
            <w:vAlign w:val="center"/>
            <w:tcMar>
              <w:top w:w="90" w:type="dxa"/>
              <w:start w:w="120" w:type="dxa"/>
              <w:bottom w:w="90" w:type="dxa"/>
              <w:end w:w="120" w:type="dxa"/>
            </w:tcMar>
          </w:tcPr>
          <w:p>
            <w:pPr>
              <w:spacing w:after="40" w:line="252" w:lineRule="auto"/>
            </w:pPr>
            <w:r>
              <w:rPr>
                <w:sz w:val="18"/>
              </w:rPr>
              <w:t>Allowed, even if the same client/project appears.</w:t>
            </w:r>
          </w:p>
        </w:tc>
      </w:tr>
      <w:tr>
        <w:trPr>
          <w:cantSplit/>
        </w:trPr>
        <w:tc>
          <w:tcPr>
            <w:tcW w:type="dxa" w:w="1550"/>
            <w:vAlign w:val="center"/>
            <w:tcMar>
              <w:top w:w="90" w:type="dxa"/>
              <w:start w:w="120" w:type="dxa"/>
              <w:bottom w:w="90" w:type="dxa"/>
              <w:end w:w="120" w:type="dxa"/>
            </w:tcMar>
          </w:tcPr>
          <w:p>
            <w:pPr>
              <w:spacing w:after="40" w:line="252" w:lineRule="auto"/>
            </w:pPr>
            <w:r>
              <w:rPr>
                <w:sz w:val="18"/>
              </w:rPr>
              <w:t>Monday</w:t>
            </w:r>
          </w:p>
        </w:tc>
        <w:tc>
          <w:tcPr>
            <w:tcW w:type="dxa" w:w="1550"/>
            <w:vAlign w:val="center"/>
            <w:tcMar>
              <w:top w:w="90" w:type="dxa"/>
              <w:start w:w="120" w:type="dxa"/>
              <w:bottom w:w="90" w:type="dxa"/>
              <w:end w:w="120" w:type="dxa"/>
            </w:tcMar>
          </w:tcPr>
          <w:p>
            <w:pPr>
              <w:spacing w:after="40" w:line="252" w:lineRule="auto"/>
            </w:pPr>
            <w:r>
              <w:rPr>
                <w:sz w:val="18"/>
              </w:rPr>
              <w:t>Wednesday</w:t>
            </w:r>
          </w:p>
        </w:tc>
        <w:tc>
          <w:tcPr>
            <w:tcW w:type="dxa" w:w="2200"/>
            <w:vAlign w:val="center"/>
            <w:tcMar>
              <w:top w:w="90" w:type="dxa"/>
              <w:start w:w="120" w:type="dxa"/>
              <w:bottom w:w="90" w:type="dxa"/>
              <w:end w:w="120" w:type="dxa"/>
            </w:tcMar>
          </w:tcPr>
          <w:p>
            <w:pPr>
              <w:spacing w:after="40" w:line="252" w:lineRule="auto"/>
            </w:pPr>
            <w:r>
              <w:rPr>
                <w:sz w:val="18"/>
              </w:rPr>
              <w:t>Yes</w:t>
            </w:r>
          </w:p>
        </w:tc>
        <w:tc>
          <w:tcPr>
            <w:tcW w:type="dxa" w:w="4060"/>
            <w:vAlign w:val="center"/>
            <w:tcMar>
              <w:top w:w="90" w:type="dxa"/>
              <w:start w:w="120" w:type="dxa"/>
              <w:bottom w:w="90" w:type="dxa"/>
              <w:end w:w="120" w:type="dxa"/>
            </w:tcMar>
          </w:tcPr>
          <w:p>
            <w:pPr>
              <w:spacing w:after="40" w:line="252" w:lineRule="auto"/>
            </w:pPr>
            <w:r>
              <w:rPr>
                <w:sz w:val="18"/>
              </w:rPr>
              <w:t>Allowed; Tuesday is the intervening day.</w:t>
            </w:r>
          </w:p>
        </w:tc>
      </w:tr>
      <w:tr>
        <w:trPr>
          <w:cantSplit/>
        </w:trPr>
        <w:tc>
          <w:tcPr>
            <w:tcW w:type="dxa" w:w="1550"/>
            <w:vAlign w:val="center"/>
            <w:tcMar>
              <w:top w:w="90" w:type="dxa"/>
              <w:start w:w="120" w:type="dxa"/>
              <w:bottom w:w="90" w:type="dxa"/>
              <w:end w:w="120" w:type="dxa"/>
            </w:tcMar>
          </w:tcPr>
          <w:p>
            <w:pPr>
              <w:spacing w:after="40" w:line="252" w:lineRule="auto"/>
            </w:pPr>
            <w:r>
              <w:rPr>
                <w:sz w:val="18"/>
              </w:rPr>
              <w:t>Monday, unclosed</w:t>
            </w:r>
          </w:p>
        </w:tc>
        <w:tc>
          <w:tcPr>
            <w:tcW w:type="dxa" w:w="1550"/>
            <w:vAlign w:val="center"/>
            <w:tcMar>
              <w:top w:w="90" w:type="dxa"/>
              <w:start w:w="120" w:type="dxa"/>
              <w:bottom w:w="90" w:type="dxa"/>
              <w:end w:w="120" w:type="dxa"/>
            </w:tcMar>
          </w:tcPr>
          <w:p>
            <w:pPr>
              <w:spacing w:after="40" w:line="252" w:lineRule="auto"/>
            </w:pPr>
            <w:r>
              <w:rPr>
                <w:sz w:val="18"/>
              </w:rPr>
              <w:t>Tuesday</w:t>
            </w:r>
          </w:p>
        </w:tc>
        <w:tc>
          <w:tcPr>
            <w:tcW w:type="dxa" w:w="2200"/>
            <w:vAlign w:val="center"/>
            <w:tcMar>
              <w:top w:w="90" w:type="dxa"/>
              <w:start w:w="120" w:type="dxa"/>
              <w:bottom w:w="90" w:type="dxa"/>
              <w:end w:w="120" w:type="dxa"/>
            </w:tcMar>
          </w:tcPr>
          <w:p>
            <w:pPr>
              <w:spacing w:after="40" w:line="252" w:lineRule="auto"/>
            </w:pPr>
            <w:r>
              <w:rPr>
                <w:sz w:val="18"/>
              </w:rPr>
              <w:t>No</w:t>
            </w:r>
          </w:p>
        </w:tc>
        <w:tc>
          <w:tcPr>
            <w:tcW w:type="dxa" w:w="4060"/>
            <w:vAlign w:val="center"/>
            <w:tcMar>
              <w:top w:w="90" w:type="dxa"/>
              <w:start w:w="120" w:type="dxa"/>
              <w:bottom w:w="90" w:type="dxa"/>
              <w:end w:w="120" w:type="dxa"/>
            </w:tcMar>
          </w:tcPr>
          <w:p>
            <w:pPr>
              <w:spacing w:after="40" w:line="252" w:lineRule="auto"/>
            </w:pPr>
            <w:r>
              <w:rPr>
                <w:sz w:val="18"/>
              </w:rPr>
              <w:t>Allowed; unclosed status is not a blocker.</w:t>
            </w:r>
          </w:p>
        </w:tc>
      </w:tr>
    </w:tbl>
    <w:p>
      <w:pPr>
        <w:spacing w:after="0"/>
      </w:pPr>
    </w:p>
    <w:p>
      <w:pPr>
        <w:pStyle w:val="Heading1"/>
      </w:pPr>
      <w:r>
        <w:t>7. Brief</w:t>
      </w:r>
    </w:p>
    <w:p>
      <w:pPr>
        <w:pStyle w:val="Heading2"/>
      </w:pPr>
      <w:r>
        <w:t>7.1 Purpose</w:t>
      </w:r>
    </w:p>
    <w:p>
      <w:r>
        <w:t>The Brief is the person’s before-record: what they are giving the day to before the day changes their understanding. It is preparation, not a work plan. Title and Question are required. Optional content is one freeform text area plus attachments. It autosaves continuously; there is no Save Draft action.</w:t>
      </w:r>
    </w:p>
    <w:p>
      <w:pPr>
        <w:pStyle w:val="Heading2"/>
      </w:pPr>
      <w:r>
        <w:t>7.2 Brief content</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2350"/>
            <w:shd w:fill="E8EEF8"/>
            <w:vAlign w:val="center"/>
            <w:tcMar>
              <w:top w:w="90" w:type="dxa"/>
              <w:start w:w="120" w:type="dxa"/>
              <w:bottom w:w="90" w:type="dxa"/>
              <w:end w:w="120" w:type="dxa"/>
            </w:tcMar>
          </w:tcPr>
          <w:p>
            <w:r>
              <w:rPr>
                <w:b/>
                <w:color w:val="304B9B"/>
                <w:sz w:val="19"/>
              </w:rPr>
              <w:t>Field</w:t>
            </w:r>
          </w:p>
        </w:tc>
        <w:tc>
          <w:tcPr>
            <w:tcW w:type="dxa" w:w="1550"/>
            <w:shd w:fill="E8EEF8"/>
            <w:vAlign w:val="center"/>
            <w:tcMar>
              <w:top w:w="90" w:type="dxa"/>
              <w:start w:w="120" w:type="dxa"/>
              <w:bottom w:w="90" w:type="dxa"/>
              <w:end w:w="120" w:type="dxa"/>
            </w:tcMar>
          </w:tcPr>
          <w:p>
            <w:r>
              <w:rPr>
                <w:b/>
                <w:color w:val="304B9B"/>
                <w:sz w:val="19"/>
              </w:rPr>
              <w:t>Requirement</w:t>
            </w:r>
          </w:p>
        </w:tc>
        <w:tc>
          <w:tcPr>
            <w:tcW w:type="dxa" w:w="5360"/>
            <w:shd w:fill="E8EEF8"/>
            <w:vAlign w:val="center"/>
            <w:tcMar>
              <w:top w:w="90" w:type="dxa"/>
              <w:start w:w="120" w:type="dxa"/>
              <w:bottom w:w="90" w:type="dxa"/>
              <w:end w:w="120" w:type="dxa"/>
            </w:tcMar>
          </w:tcPr>
          <w:p>
            <w:r>
              <w:rPr>
                <w:b/>
                <w:color w:val="304B9B"/>
                <w:sz w:val="19"/>
              </w:rPr>
              <w:t>Notes</w:t>
            </w:r>
          </w:p>
        </w:tc>
      </w:tr>
      <w:tr>
        <w:tc>
          <w:tcPr>
            <w:tcW w:type="dxa" w:w="3216"/>
          </w:tcPr>
          <w:p>
            <w:r>
              <w:t>Title</w:t>
            </w:r>
          </w:p>
        </w:tc>
        <w:tc>
          <w:tcPr>
            <w:tcW w:type="dxa" w:w="3216"/>
          </w:tcPr>
          <w:p>
            <w:r>
              <w:t>Required to Begin</w:t>
            </w:r>
          </w:p>
        </w:tc>
        <w:tc>
          <w:tcPr>
            <w:tcW w:type="dxa" w:w="3216"/>
          </w:tcPr>
          <w:p>
            <w:r>
              <w:t>A human-readable name for the Obsession.</w:t>
            </w:r>
          </w:p>
        </w:tc>
      </w:tr>
      <w:tr>
        <w:tc>
          <w:tcPr>
            <w:tcW w:type="dxa" w:w="3216"/>
          </w:tcPr>
          <w:p>
            <w:r>
              <w:t>Question</w:t>
            </w:r>
          </w:p>
        </w:tc>
        <w:tc>
          <w:tcPr>
            <w:tcW w:type="dxa" w:w="3216"/>
          </w:tcPr>
          <w:p>
            <w:r>
              <w:t>Required to Begin</w:t>
            </w:r>
          </w:p>
        </w:tc>
        <w:tc>
          <w:tcPr>
            <w:tcW w:type="dxa" w:w="3216"/>
          </w:tcPr>
          <w:p>
            <w:r>
              <w:t>The singular question receiving the day.</w:t>
            </w:r>
          </w:p>
        </w:tc>
      </w:tr>
      <w:tr>
        <w:tc>
          <w:tcPr>
            <w:tcW w:type="dxa" w:w="3216"/>
          </w:tcPr>
          <w:p>
            <w:r>
              <w:t>Freeform text</w:t>
            </w:r>
          </w:p>
        </w:tc>
        <w:tc>
          <w:tcPr>
            <w:tcW w:type="dxa" w:w="3216"/>
          </w:tcPr>
          <w:p>
            <w:r>
              <w:t>Optional</w:t>
            </w:r>
          </w:p>
        </w:tc>
        <w:tc>
          <w:tcPr>
            <w:tcW w:type="dxa" w:w="3216"/>
          </w:tcPr>
          <w:p>
            <w:r>
              <w:t>One undivided area for any context, notes, starting thoughts, or possible directions. No separate optional-content fields.</w:t>
            </w:r>
          </w:p>
        </w:tc>
      </w:tr>
      <w:tr>
        <w:tc>
          <w:tcPr>
            <w:tcW w:type="dxa" w:w="3216"/>
          </w:tcPr>
          <w:p>
            <w:r>
              <w:t>Attachments</w:t>
            </w:r>
          </w:p>
        </w:tc>
        <w:tc>
          <w:tcPr>
            <w:tcW w:type="dxa" w:w="3216"/>
          </w:tcPr>
          <w:p>
            <w:r>
              <w:t>Optional</w:t>
            </w:r>
          </w:p>
        </w:tc>
        <w:tc>
          <w:tcPr>
            <w:tcW w:type="dxa" w:w="3216"/>
          </w:tcPr>
          <w:p>
            <w:r>
              <w:t>Carried from the Possibility and editable until Begin.</w:t>
            </w:r>
          </w:p>
        </w:tc>
      </w:tr>
      <w:tr>
        <w:tc>
          <w:tcPr>
            <w:tcW w:type="dxa" w:w="3216"/>
          </w:tcPr>
          <w:p>
            <w:r>
              <w:t>Declared relationships</w:t>
            </w:r>
          </w:p>
        </w:tc>
        <w:tc>
          <w:tcPr>
            <w:tcW w:type="dxa" w:w="3216"/>
          </w:tcPr>
          <w:p>
            <w:r>
              <w:t>Optional</w:t>
            </w:r>
          </w:p>
        </w:tc>
        <w:tc>
          <w:tcPr>
            <w:tcW w:type="dxa" w:w="3216"/>
          </w:tcPr>
          <w:p>
            <w:r>
              <w:t>Manual only; validated at scheduling and Begin.</w:t>
            </w:r>
          </w:p>
        </w:tc>
      </w:tr>
    </w:tbl>
    <w:p>
      <w:pPr>
        <w:spacing w:after="0"/>
      </w:pPr>
    </w:p>
    <w:p>
      <w:pPr>
        <w:pStyle w:val="Heading2"/>
      </w:pPr>
      <w:r>
        <w:t>7.3 Autosave and freeze</w:t>
      </w:r>
    </w:p>
    <w:p>
      <w:pPr>
        <w:pStyle w:val="ListBullet"/>
      </w:pPr>
      <w:r>
        <w:t xml:space="preserve"> Every Brief edit autosaves with visible, quiet saving/saved/error state.</w:t>
      </w:r>
    </w:p>
    <w:p>
      <w:pPr>
        <w:pStyle w:val="ListBullet"/>
      </w:pPr>
      <w:r>
        <w:t xml:space="preserve"> The user can leave and resume without an explicit Save Draft control.</w:t>
      </w:r>
    </w:p>
    <w:p>
      <w:pPr>
        <w:pStyle w:val="ListBullet"/>
      </w:pPr>
      <w:r>
        <w:t xml:space="preserve"> Begin Obsession creates an immutable snapshot of the original Brief as the historical ‘before’ record.</w:t>
      </w:r>
    </w:p>
    <w:p>
      <w:pPr>
        <w:pStyle w:val="ListBullet"/>
      </w:pPr>
      <w:r>
        <w:t xml:space="preserve"> After Begin, changes intended for the finished exhibit must not mutate the frozen Brief snapshot.</w:t>
      </w:r>
    </w:p>
    <w:p>
      <w:pPr>
        <w:pStyle w:val="ListBullet"/>
      </w:pPr>
      <w:r>
        <w:t xml:space="preserve"> If autosave is failing, Begin is disabled until the current content is safely persisted or the user deliberately reverts to the last saved version.</w:t>
      </w:r>
    </w:p>
    <w:p>
      <w:pPr>
        <w:pStyle w:val="Heading1"/>
      </w:pPr>
      <w:r>
        <w:t>8. Begin Obsession and Active Day</w:t>
      </w:r>
    </w:p>
    <w:p>
      <w:pPr>
        <w:pStyle w:val="Heading2"/>
      </w:pPr>
      <w:r>
        <w:t>8.1 Begin threshold</w:t>
      </w:r>
    </w:p>
    <w:p>
      <w:r>
        <w:t>Begin Obsession is the defining act of the system. The control is prominent and deliberate. If no confirmed account/profile IANA time zone exists, Begin first requires lightweight confirmation; this gate does not apply to creating or keeping Possibilities. Begin is then available only when the minimum Brief is present, the Possibility is still scheduled for the current local date resolved from the server instant plus that confirmed time zone, that date has no actual Obsession, and the relationship/date rule passes. A browser-reported zone may trigger mismatch confirmation but never silently confirms or overrides the account time zone.</w:t>
      </w:r>
    </w:p>
    <w:p>
      <w:pPr>
        <w:pStyle w:val="Heading2"/>
      </w:pPr>
      <w:r>
        <w:t>8.2 Begin transaction</w:t>
      </w:r>
    </w:p>
    <w:p>
      <w:pPr>
        <w:pStyle w:val="ListNumber"/>
      </w:pPr>
      <w:r>
        <w:t>Revalidate authentication. If the account/profile IANA time zone is unconfirmed, require lightweight confirmation before resolving any local date; a quietly detected browser zone may be offered only as a suggestion. Then resolve the current local date from one server instant plus the confirmed IANA time zone; confirm that the Possibility is still scheduled for that date, that no actual Obsession already occupies that date, required Brief data, and the no-consecutive-related rule. If the browser later reports a different IANA zone, require confirmation or a profile update before Begin rather than silently overriding the confirmed time zone.</w:t>
      </w:r>
    </w:p>
    <w:p>
      <w:pPr>
        <w:pStyle w:val="ListNumber"/>
      </w:pPr>
      <w:r>
        <w:t xml:space="preserve"> Persist any final autosaved Brief changes.</w:t>
      </w:r>
    </w:p>
    <w:p>
      <w:pPr>
        <w:pStyle w:val="ListNumber"/>
      </w:pPr>
      <w:r>
        <w:t xml:space="preserve"> Freeze a versioned snapshot of the original Brief.</w:t>
      </w:r>
    </w:p>
    <w:p>
      <w:pPr>
        <w:pStyle w:val="ListNumber"/>
      </w:pPr>
      <w:r>
        <w:t>Create the Obsession record with obsession_day equal to the resolved current local calendar date at Begin and permanently retain that date. A person may have at most one actual Obsession for any local calendar date; later travel or time-zone changes never shift the stored obsession_day.</w:t>
      </w:r>
    </w:p>
    <w:p>
      <w:pPr>
        <w:pStyle w:val="ListNumber"/>
      </w:pPr>
      <w:r>
        <w:t xml:space="preserve"> Move the scheduled/Possibility record into active state without destroying its lineage.</w:t>
      </w:r>
    </w:p>
    <w:p>
      <w:pPr>
        <w:pStyle w:val="ListNumber"/>
      </w:pPr>
      <w:r>
        <w:t xml:space="preserve"> Open Active Day.</w:t>
      </w:r>
    </w:p>
    <w:p>
      <w:pPr>
        <w:pStyle w:val="Heading2"/>
      </w:pPr>
      <w:r>
        <w:t>8.3 Active Day behavior</w:t>
      </w:r>
    </w:p>
    <w:p>
      <w:pPr>
        <w:pStyle w:val="ListBullet"/>
      </w:pPr>
      <w:r>
        <w:t>Show the title, question, the fact that this is today’s Obsession, and the frozen Brief in a quiet read-only view.</w:t>
      </w:r>
    </w:p>
    <w:p>
      <w:pPr>
        <w:pStyle w:val="ListBullet"/>
      </w:pPr>
      <w:r>
        <w:t>Stay out of the way. Work may happen anywhere, and no capture inside ObsessOS is required or centered. A quiet optional action may add text or attachments directly to this Obsession’s private Archive, but the screen must not become a work surface.</w:t>
      </w:r>
    </w:p>
    <w:p>
      <w:pPr>
        <w:pStyle w:val="ListBullet"/>
      </w:pPr>
      <w:r>
        <w:t xml:space="preserve"> Provide one primary action: Close Obsession. Do not show task controls, elapsed time, percent complete, AI chat, or performance prompts.</w:t>
      </w:r>
    </w:p>
    <w:p>
      <w:pPr>
        <w:pStyle w:val="ListBullet"/>
      </w:pPr>
      <w:r>
        <w:t xml:space="preserve"> If the browser closes, reopening returns to the Active Day or to a clear Resume Closeout state.</w:t>
      </w:r>
    </w:p>
    <w:p>
      <w:pPr>
        <w:pStyle w:val="ListBullet"/>
      </w:pPr>
      <w:r>
        <w:t xml:space="preserve"> Crossing midnight does not change the stored Obsession Day. The Active Day may remain open and be closed later.</w:t>
      </w:r>
    </w:p>
    <w:p>
      <w:pPr>
        <w:pStyle w:val="Heading2"/>
      </w:pPr>
      <w:r>
        <w:t>8.4 Multiple open Obsessions</w:t>
      </w:r>
    </w:p>
    <w:p>
      <w:r>
        <w:t>Past Obsessions may remain active or have unfinished closeouts. They do not block beginning a new day’s Obsession. Today surfaces them quietly as resumable records, without red badges, overdue language, punishment, or forced completion.</w:t>
      </w:r>
    </w:p>
    <w:p>
      <w:pPr>
        <w:pStyle w:val="Heading1"/>
      </w:pPr>
      <w:r>
        <w:t>9. Closeout: Reflect → Show → Preserve → Finish</w:t>
      </w:r>
    </w:p>
    <w:p>
      <w:r>
        <w:t>Closeout is a four-step ceremony. Each step autosaves. The user may leave at any point and later resume at the first incomplete step. There is no Save Draft button and no penalty for delay.</w:t>
      </w:r>
    </w:p>
    <w:p>
      <w:pPr>
        <w:pStyle w:val="Heading2"/>
      </w:pPr>
      <w:r>
        <w:t>9.1 Reflect</w:t>
      </w:r>
    </w:p>
    <w:p>
      <w:r>
        <w:t>Reflect records what the day became in the person’s own language. Outcome is required. Discoveries are optional zero-or-more discrete items, suitable for + Add Discovery, and Story is optional. The prompts ask for description rather than evaluation.</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2200"/>
            <w:shd w:fill="E8EEF8"/>
            <w:vAlign w:val="center"/>
            <w:tcMar>
              <w:top w:w="90" w:type="dxa"/>
              <w:start w:w="120" w:type="dxa"/>
              <w:bottom w:w="90" w:type="dxa"/>
              <w:end w:w="120" w:type="dxa"/>
            </w:tcMar>
          </w:tcPr>
          <w:p>
            <w:r>
              <w:rPr>
                <w:b/>
                <w:color w:val="304B9B"/>
                <w:sz w:val="19"/>
              </w:rPr>
              <w:t>Field</w:t>
            </w:r>
          </w:p>
        </w:tc>
        <w:tc>
          <w:tcPr>
            <w:tcW w:type="dxa" w:w="1700"/>
            <w:shd w:fill="E8EEF8"/>
            <w:vAlign w:val="center"/>
            <w:tcMar>
              <w:top w:w="90" w:type="dxa"/>
              <w:start w:w="120" w:type="dxa"/>
              <w:bottom w:w="90" w:type="dxa"/>
              <w:end w:w="120" w:type="dxa"/>
            </w:tcMar>
          </w:tcPr>
          <w:p>
            <w:r>
              <w:rPr>
                <w:b/>
                <w:color w:val="304B9B"/>
                <w:sz w:val="19"/>
              </w:rPr>
              <w:t>Requirement</w:t>
            </w:r>
          </w:p>
        </w:tc>
        <w:tc>
          <w:tcPr>
            <w:tcW w:type="dxa" w:w="5460"/>
            <w:shd w:fill="E8EEF8"/>
            <w:vAlign w:val="center"/>
            <w:tcMar>
              <w:top w:w="90" w:type="dxa"/>
              <w:start w:w="120" w:type="dxa"/>
              <w:bottom w:w="90" w:type="dxa"/>
              <w:end w:w="120" w:type="dxa"/>
            </w:tcMar>
          </w:tcPr>
          <w:p>
            <w:r>
              <w:rPr>
                <w:b/>
                <w:color w:val="304B9B"/>
                <w:sz w:val="19"/>
              </w:rPr>
              <w:t>Intent</w:t>
            </w:r>
          </w:p>
        </w:tc>
      </w:tr>
      <w:tr>
        <w:tc>
          <w:tcPr>
            <w:tcW w:type="dxa" w:w="3216"/>
          </w:tcPr>
          <w:p>
            <w:r>
              <w:t>Outcome</w:t>
            </w:r>
          </w:p>
        </w:tc>
        <w:tc>
          <w:tcPr>
            <w:tcW w:type="dxa" w:w="3216"/>
          </w:tcPr>
          <w:p>
            <w:r>
              <w:t>Required to Finish</w:t>
            </w:r>
          </w:p>
        </w:tc>
        <w:tc>
          <w:tcPr>
            <w:tcW w:type="dxa" w:w="3216"/>
          </w:tcPr>
          <w:p>
            <w:r>
              <w:t>What came of the day; descriptive, not a success/failure judgment.</w:t>
            </w:r>
          </w:p>
        </w:tc>
      </w:tr>
      <w:tr>
        <w:tc>
          <w:tcPr>
            <w:tcW w:type="dxa" w:w="3216"/>
          </w:tcPr>
          <w:p>
            <w:r>
              <w:t>Discoveries</w:t>
            </w:r>
          </w:p>
        </w:tc>
        <w:tc>
          <w:tcPr>
            <w:tcW w:type="dxa" w:w="3216"/>
          </w:tcPr>
          <w:p>
            <w:r>
              <w:t>Optional; zero or more</w:t>
            </w:r>
          </w:p>
        </w:tc>
        <w:tc>
          <w:tcPr>
            <w:tcW w:type="dxa" w:w="3216"/>
          </w:tcPr>
          <w:p>
            <w:r>
              <w:t>Discrete + Add Discovery items for what was found, learned, noticed, or changed.</w:t>
            </w:r>
          </w:p>
        </w:tc>
      </w:tr>
      <w:tr>
        <w:tc>
          <w:tcPr>
            <w:tcW w:type="dxa" w:w="3216"/>
          </w:tcPr>
          <w:p>
            <w:r>
              <w:t>Story</w:t>
            </w:r>
          </w:p>
        </w:tc>
        <w:tc>
          <w:tcPr>
            <w:tcW w:type="dxa" w:w="3216"/>
          </w:tcPr>
          <w:p>
            <w:r>
              <w:t>Optional</w:t>
            </w:r>
          </w:p>
        </w:tc>
        <w:tc>
          <w:tcPr>
            <w:tcW w:type="dxa" w:w="3216"/>
          </w:tcPr>
          <w:p>
            <w:r>
              <w:t>The account of how the day unfolded, including turns, attempts, surprises, or absences.</w:t>
            </w:r>
          </w:p>
        </w:tc>
      </w:tr>
    </w:tbl>
    <w:p>
      <w:pPr>
        <w:spacing w:after="0"/>
      </w:pPr>
    </w:p>
    <w:p>
      <w:pPr>
        <w:pStyle w:val="Heading2"/>
      </w:pPr>
      <w:r>
        <w:t>9.2 Show</w:t>
      </w:r>
    </w:p>
    <w:p>
      <w:r>
        <w:t>Show composes what the finished exhibit can reveal. Results and Open Threads are optional. Cover is required before the Obsession can be completed. Show is not evidence of productivity and does not need to prove the day was worthwhile.</w:t>
      </w:r>
    </w:p>
    <w:p>
      <w:pPr>
        <w:pStyle w:val="ListBullet"/>
      </w:pPr>
      <w:r>
        <w:t>Cover: one required real image. It is created or obtained outside ObsessOS, uploaded by the person, or selected from eligible image media already associated with the Obsession. ObsessOS may select, crop, reposition, preview, and process it for presentation, but does not generate the image. A typographic fallback never satisfies completion.</w:t>
      </w:r>
    </w:p>
    <w:p>
      <w:pPr>
        <w:pStyle w:val="ListBullet"/>
      </w:pPr>
      <w:r>
        <w:t>Results: optional structured items, each with a required title, optional description, and file, link, or media. No manually selected result type or category is required.</w:t>
      </w:r>
    </w:p>
    <w:p>
      <w:pPr>
        <w:pStyle w:val="ListBullet"/>
      </w:pPr>
      <w:r>
        <w:t>Open Threads: optional items for what remains alive, unresolved, or worth remembering. An Open Thread does not by itself create or schedule another Obsession. The person may deliberately choose Save as Possibility. That explicit human action creates one unscheduled Possibility and, as part of the same action, records the person’s declared lineage to the source Obsession. This is not inference or autonomous relationship creation. The normal no-consecutive-related-Obsessions rule applies.</w:t>
      </w:r>
    </w:p>
    <w:p>
      <w:pPr>
        <w:pStyle w:val="ListBullet"/>
      </w:pPr>
      <w:r>
        <w:t>The user explicitly selects Results and presentation content. Material in the private Archive is never automatically displayed or published.</w:t>
      </w:r>
    </w:p>
    <w:p>
      <w:pPr>
        <w:pStyle w:val="Heading2"/>
      </w:pPr>
      <w:r>
        <w:t>9.3 Preserve</w:t>
      </w:r>
    </w:p>
    <w:p>
      <w:r>
        <w:t>Preserve is the optional private opportunity to add raw material, supporting files, captures, transcripts, and anything else worth keeping to the Obsession’s Archive. The Archive is completed automatically from the canonical record plus anything deliberately preserved; the person never has to upload or preserve completed content twice. Preserve does not ask the user to author separate Small, Medium, Large, or Extra Large forms, and it does not choose visibility.</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1400"/>
            <w:shd w:fill="E8EEF8"/>
            <w:vAlign w:val="center"/>
            <w:tcMar>
              <w:top w:w="90" w:type="dxa"/>
              <w:start w:w="120" w:type="dxa"/>
              <w:bottom w:w="90" w:type="dxa"/>
              <w:end w:w="120" w:type="dxa"/>
            </w:tcMar>
          </w:tcPr>
          <w:p>
            <w:r>
              <w:t>Viewing depth</w:t>
            </w:r>
          </w:p>
        </w:tc>
        <w:tc>
          <w:tcPr>
            <w:tcW w:type="dxa" w:w="5400"/>
            <w:shd w:fill="E8EEF8"/>
            <w:vAlign w:val="center"/>
            <w:tcMar>
              <w:top w:w="90" w:type="dxa"/>
              <w:start w:w="120" w:type="dxa"/>
              <w:bottom w:w="90" w:type="dxa"/>
              <w:end w:w="120" w:type="dxa"/>
            </w:tcMar>
          </w:tcPr>
          <w:p>
            <w:r>
              <w:rPr>
                <w:b/>
                <w:color w:val="304B9B"/>
                <w:sz w:val="19"/>
              </w:rPr>
              <w:t>Contents</w:t>
            </w:r>
          </w:p>
        </w:tc>
        <w:tc>
          <w:tcPr>
            <w:tcW w:type="dxa" w:w="2560"/>
            <w:shd w:fill="E8EEF8"/>
            <w:vAlign w:val="center"/>
            <w:tcMar>
              <w:top w:w="90" w:type="dxa"/>
              <w:start w:w="120" w:type="dxa"/>
              <w:bottom w:w="90" w:type="dxa"/>
              <w:end w:w="120" w:type="dxa"/>
            </w:tcMar>
          </w:tcPr>
          <w:p>
            <w:r>
              <w:rPr>
                <w:b/>
                <w:color w:val="304B9B"/>
                <w:sz w:val="19"/>
              </w:rPr>
              <w:t>Default visibility</w:t>
            </w:r>
          </w:p>
        </w:tc>
      </w:tr>
      <w:tr>
        <w:tc>
          <w:tcPr>
            <w:tcW w:type="dxa" w:w="3216"/>
          </w:tcPr>
          <w:p>
            <w:r>
              <w:t>Small</w:t>
            </w:r>
          </w:p>
        </w:tc>
        <w:tc>
          <w:tcPr>
            <w:tcW w:type="dxa" w:w="3216"/>
          </w:tcPr>
          <w:p>
            <w:r>
              <w:t>Gallery/card glance led by Cover, Title, historical date, and a short Outcome excerpt—derived from what came back, with no separately authored blurb.</w:t>
            </w:r>
          </w:p>
        </w:tc>
        <w:tc>
          <w:tcPr>
            <w:tcW w:type="dxa" w:w="3216"/>
          </w:tcPr>
          <w:p>
            <w:r>
              <w:t>A viewing depth of the same exhibit; not separately authored and not a visibility choice.</w:t>
            </w:r>
          </w:p>
        </w:tc>
      </w:tr>
      <w:tr>
        <w:tc>
          <w:tcPr>
            <w:tcW w:type="dxa" w:w="3216"/>
          </w:tcPr>
          <w:p>
            <w:r>
              <w:t>Medium</w:t>
            </w:r>
          </w:p>
        </w:tc>
        <w:tc>
          <w:tcPr>
            <w:tcW w:type="dxa" w:w="3216"/>
          </w:tcPr>
          <w:p>
            <w:r>
              <w:t>Understand the finished exhibit: Outcome, optional Discoveries and Story, Open Threads when present, and selected exhibit context.</w:t>
            </w:r>
          </w:p>
        </w:tc>
        <w:tc>
          <w:tcPr>
            <w:tcW w:type="dxa" w:w="3216"/>
          </w:tcPr>
          <w:p>
            <w:r>
              <w:t>A viewing depth of the same exhibit; not separately authored and not a visibility choice.</w:t>
            </w:r>
          </w:p>
        </w:tc>
      </w:tr>
      <w:tr>
        <w:tc>
          <w:tcPr>
            <w:tcW w:type="dxa" w:w="3216"/>
          </w:tcPr>
          <w:p>
            <w:r>
              <w:t>Large</w:t>
            </w:r>
          </w:p>
        </w:tc>
        <w:tc>
          <w:tcPr>
            <w:tcW w:type="dxa" w:w="3216"/>
          </w:tcPr>
          <w:p>
            <w:r>
              <w:t>Explore Results: structured Results and their descriptions, files, links, or media.</w:t>
            </w:r>
          </w:p>
        </w:tc>
        <w:tc>
          <w:tcPr>
            <w:tcW w:type="dxa" w:w="3216"/>
          </w:tcPr>
          <w:p>
            <w:r>
              <w:t>A viewing depth of the same exhibit; not separately authored and not a visibility choice.</w:t>
            </w:r>
          </w:p>
        </w:tc>
      </w:tr>
      <w:tr>
        <w:tc>
          <w:tcPr>
            <w:tcW w:type="dxa" w:w="3216"/>
          </w:tcPr>
          <w:p>
            <w:r>
              <w:t>Extra Large</w:t>
            </w:r>
          </w:p>
        </w:tc>
        <w:tc>
          <w:tcPr>
            <w:tcW w:type="dxa" w:w="3216"/>
          </w:tcPr>
          <w:p>
            <w:r>
              <w:t>Private Archive: frozen starting record, preserved raw material, and everything that came back.</w:t>
            </w:r>
          </w:p>
        </w:tc>
        <w:tc>
          <w:tcPr>
            <w:tcW w:type="dxa" w:w="3216"/>
          </w:tcPr>
          <w:p>
            <w:r>
              <w:t>Always private; never a public form or selector.</w:t>
            </w:r>
          </w:p>
        </w:tc>
      </w:tr>
    </w:tbl>
    <w:p>
      <w:pPr>
        <w:spacing w:after="0"/>
      </w:pPr>
    </w:p>
    <w:p>
      <w:pPr>
        <w:pStyle w:val="ListBullet"/>
      </w:pPr>
      <w:r>
        <w:t>Small, Medium, Large, and Extra Large are conceptual viewing depths of one Completed Obsession, not authored preservation forms and not a public form selector.</w:t>
      </w:r>
    </w:p>
    <w:p>
      <w:pPr>
        <w:pStyle w:val="ListBullet"/>
      </w:pPr>
      <w:r>
        <w:t>If the user explicitly makes the whole completed exhibit Public, the public projection may reveal the same exhibit through its Small, Medium, and Large depths. Extra Large—the Archive—must remain inaccessible by reference, preview, metadata, file URL, or search indexing.</w:t>
      </w:r>
    </w:p>
    <w:p>
      <w:pPr>
        <w:pStyle w:val="ListBullet"/>
      </w:pPr>
      <w:r>
        <w:t>Archive material may be added or organized after Finish; the historical Obsession Day and frozen Brief never change.</w:t>
      </w:r>
    </w:p>
    <w:p>
      <w:pPr>
        <w:pStyle w:val="Heading2"/>
      </w:pPr>
      <w:r>
        <w:t>9.4 Finish</w:t>
      </w:r>
    </w:p>
    <w:p>
      <w:r>
        <w:t>Finish presents a full preview of the one completed exhibit, including its Cover and available viewing depths, then requires an explicit whole-exhibit visibility choice: Public or Private. Private is preselected by default. Completion validates Title, Question, Outcome, and Cover, records completed_at, and returns the user to the finished exhibit. Results, Discoveries, Story, Open Threads, and Preserve material remain optional. Finish does not grade success.</w:t>
      </w: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rPr>
                <w:b/>
                <w:color w:val="304B9B"/>
                <w:sz w:val="18"/>
              </w:rPr>
              <w:t xml:space="preserve">POST-COMPLETION EDIT RULE  </w:t>
            </w:r>
            <w:r>
              <w:rPr>
                <w:sz w:val="20"/>
              </w:rPr>
              <w:t>The finished exhibit may be edited after completion. The Obsession Day and frozen original Brief remain unchanged. Edits are presentation changes, not rewrites of history.</w:t>
            </w:r>
          </w:p>
        </w:tc>
      </w:tr>
    </w:tbl>
    <w:p>
      <w:pPr>
        <w:spacing w:after="0"/>
      </w:pPr>
    </w:p>
    <w:p>
      <w:pPr>
        <w:pStyle w:val="Heading1"/>
      </w:pPr>
      <w:r>
        <w:t>10. Completed Obsession: the finished exhibit</w:t>
      </w:r>
    </w:p>
    <w:p>
      <w:pPr>
        <w:pStyle w:val="Heading2"/>
      </w:pPr>
      <w:r>
        <w:t>10.1 Product meaning</w:t>
      </w:r>
    </w:p>
    <w:p>
      <w:r>
        <w:t>A Completed Obsession is displayed as an exhibit: a composed record of attention with a clear before, the day’s reflection, selected presentation, and preserved private depth. It should feel finished without becoming immutable.</w:t>
      </w:r>
    </w:p>
    <w:p>
      <w:pPr>
        <w:pStyle w:val="Heading2"/>
      </w:pPr>
      <w:r>
        <w:t>10.2 Exhibit composition</w:t>
      </w:r>
    </w:p>
    <w:p>
      <w:pPr>
        <w:pStyle w:val="ListBullet"/>
      </w:pPr>
      <w:r>
        <w:t xml:space="preserve"> Obsession question/title and historical Obsession Day.</w:t>
      </w:r>
    </w:p>
    <w:p>
      <w:pPr>
        <w:pStyle w:val="ListBullet"/>
      </w:pPr>
      <w:r>
        <w:t>Required real Cover image created or obtained outside ObsessOS, or selected from eligible associated image media. No typographic fallback satisfies completion.</w:t>
      </w:r>
    </w:p>
    <w:p>
      <w:pPr>
        <w:pStyle w:val="ListBullet"/>
      </w:pPr>
      <w:r>
        <w:t>One coherent exhibit with conceptual Small, Medium, and Large viewing depths; no separately authored public forms.</w:t>
      </w:r>
    </w:p>
    <w:p>
      <w:pPr>
        <w:pStyle w:val="ListBullet"/>
      </w:pPr>
      <w:r>
        <w:t xml:space="preserve"> Visible separation between frozen Brief (‘Before’) and editable completed account (‘After’).</w:t>
      </w:r>
    </w:p>
    <w:p>
      <w:pPr>
        <w:pStyle w:val="ListBullet"/>
      </w:pPr>
      <w:r>
        <w:t xml:space="preserve"> Declared related Obsessions, shown only as human-declared relationships.</w:t>
      </w:r>
    </w:p>
    <w:p>
      <w:pPr>
        <w:pStyle w:val="ListBullet"/>
      </w:pPr>
      <w:r>
        <w:t>Private owner actions: Edit exhibit, change whole-exhibit visibility, and open the Obsession’s private Archive.</w:t>
      </w:r>
    </w:p>
    <w:p>
      <w:pPr>
        <w:pStyle w:val="Heading2"/>
      </w:pPr>
      <w:r>
        <w:t>10.3 Editing and version safety</w:t>
      </w:r>
    </w:p>
    <w:p>
      <w:pPr>
        <w:pStyle w:val="ListBullet"/>
      </w:pPr>
      <w:r>
        <w:t xml:space="preserve"> Edits autosave or use an explicit Publish Update action only when changing a currently public exhibit; the interface must make public consequences clear.</w:t>
      </w:r>
    </w:p>
    <w:p>
      <w:pPr>
        <w:pStyle w:val="ListBullet"/>
      </w:pPr>
      <w:r>
        <w:t>Changing Public to Private removes public access to the whole exhibit immediately; the Archive is unaffected and always private.</w:t>
      </w:r>
    </w:p>
    <w:p>
      <w:pPr>
        <w:pStyle w:val="ListBullet"/>
      </w:pPr>
      <w:r>
        <w:t xml:space="preserve"> Changing title or prose never changes obsession_day, begun_at, or frozen_brief_snapshot_id.</w:t>
      </w:r>
    </w:p>
    <w:p>
      <w:pPr>
        <w:pStyle w:val="ListBullet"/>
      </w:pPr>
      <w:r>
        <w:t xml:space="preserve"> A failed public update leaves the last published version intact and keeps the edit recoverable.</w:t>
      </w:r>
    </w:p>
    <w:p>
      <w:pPr>
        <w:pStyle w:val="Heading1"/>
      </w:pPr>
      <w:r>
        <w:t>11. History as the gallery</w:t>
      </w:r>
    </w:p>
    <w:p>
      <w:r>
        <w:t>History is a gallery of finished Obsessions, not a log, report, streak, or performance timeline. It is ordered by historical Obsession Day, with calm visual cards and enough negative space for each day to feel distinct.</w:t>
      </w:r>
    </w:p>
    <w:p>
      <w:pPr>
        <w:pStyle w:val="ListBullet"/>
      </w:pPr>
      <w:r>
        <w:t>Default content: all Completed Obsessions, ordered and composed as the gallery. Each card represents what came back from the completed day, led by Cover, Title, historical Obsession Day, and a short Outcome excerpt. No separately authored Small blurb is required.</w:t>
      </w:r>
    </w:p>
    <w:p>
      <w:pPr>
        <w:pStyle w:val="ListBullet"/>
      </w:pPr>
      <w:r>
        <w:t xml:space="preserve"> Primary navigation: browse by date and open an exhibit. Search may match user-authored text; it does not generate categories or inferred relationships.</w:t>
      </w:r>
    </w:p>
    <w:p>
      <w:pPr>
        <w:pStyle w:val="ListBullet"/>
      </w:pPr>
      <w:r>
        <w:t xml:space="preserve"> No totals, streaks, completion graphs, heatmaps, productivity summaries, leaderboards, or year-in-review scoring in v0.1.</w:t>
      </w:r>
    </w:p>
    <w:p>
      <w:pPr>
        <w:pStyle w:val="ListBullet"/>
      </w:pPr>
      <w:r>
        <w:t xml:space="preserve"> Unfinished older Obsessions are not mixed into the gallery as failed exhibits; they appear quietly in Today/Resume and may have a separate private unfinished view.</w:t>
      </w:r>
    </w:p>
    <w:p>
      <w:pPr>
        <w:pStyle w:val="Heading1"/>
      </w:pPr>
      <w:r>
        <w:t>12. Private Archive</w:t>
      </w:r>
    </w:p>
    <w:p>
      <w:r>
        <w:t>The Archive is the always-private back room attached to every Completed Obsession. It is not a lifecycle state, does not remove the Obsession from History, and does not change Public/Private exhibit semantics.</w:t>
      </w:r>
    </w:p>
    <w:p>
      <w:pPr>
        <w:pStyle w:val="ListBullet"/>
      </w:pPr>
      <w:r>
        <w:t>What You Started With — the immutable frozen Brief and starting material, including its attachments.</w:t>
      </w:r>
    </w:p>
    <w:p>
      <w:pPr>
        <w:pStyle w:val="ListBullet"/>
      </w:pPr>
      <w:r>
        <w:t>What You Preserved — deliberately added private raw/supporting material, including files, captures, transcripts, notes, and other supporting material.</w:t>
      </w:r>
    </w:p>
    <w:p>
      <w:pPr>
        <w:pStyle w:val="ListBullet"/>
      </w:pPr>
      <w:r>
        <w:t>What Came Back — Outcome, discrete Discoveries, Story, Results, Open Threads, Cover, and the completed exhibit record. These canonical completed contents are included automatically; the person never preserves or uploads them twice merely to complete the Archive.</w:t>
      </w:r>
    </w:p>
    <w:p>
      <w:pPr>
        <w:pStyle w:val="ListBullet"/>
      </w:pPr>
      <w:r>
        <w:t>The Archive may also retain optional material added through the quiet Active Day action or after completion. Its contents never appear in public projections, public metadata, public search, or public asset URLs, even when the completed exhibit is Public.</w:t>
      </w:r>
    </w:p>
    <w:p>
      <w:pPr>
        <w:pStyle w:val="ListBullet"/>
      </w:pPr>
      <w:r>
        <w:t>Permanent deletion of an Obsession and its Archive is a separate, explicit account data-control flow with confirmation and attachment cleanup. It is not a gallery-card shortcut.</w:t>
      </w:r>
    </w:p>
    <w:p>
      <w:pPr>
        <w:pStyle w:val="Heading1"/>
      </w:pPr>
      <w:r>
        <w:t>13. Onboarding</w:t>
      </w:r>
    </w:p>
    <w:p>
      <w:pPr>
        <w:pStyle w:val="Heading2"/>
      </w:pPr>
      <w:r>
        <w:t>13.1 Goal</w:t>
      </w:r>
    </w:p>
    <w:p>
      <w:r>
        <w:t>Onboarding should get a person to their first genuine Possibility quickly while teaching the product through the act itself. It must not become profile setup, a productivity assessment, personality quiz, goal system, or forced public-identity flow.</w:t>
      </w:r>
    </w:p>
    <w:p>
      <w:pPr>
        <w:pStyle w:val="Heading2"/>
      </w:pPr>
      <w:r>
        <w:t>13.2 Canonical sequence</w:t>
      </w:r>
    </w:p>
    <w:p>
      <w:pPr>
        <w:pStyle w:val="ListNumber"/>
        <w:numPr>
          <w:ilvl w:val="0"/>
          <w:numId w:val="10"/>
        </w:numPr>
      </w:pPr>
      <w:r>
        <w:t>Welcome: ‘One human. One question. One day.’ Explain the day-sized commitment in a few sentences.</w:t>
      </w:r>
    </w:p>
    <w:p>
      <w:pPr>
        <w:pStyle w:val="ListNumber"/>
        <w:numPr>
          <w:ilvl w:val="0"/>
          <w:numId w:val="10"/>
        </w:numPr>
      </w:pPr>
      <w:r>
        <w:t>Ask: ‘What might deserve a day?’ Let the person create the first real Possibility with only the Question required; notes/context and attachments remain optional.</w:t>
      </w:r>
    </w:p>
    <w:p>
      <w:pPr>
        <w:pStyle w:val="ListNumber"/>
        <w:numPr>
          <w:ilvl w:val="0"/>
          <w:numId w:val="10"/>
        </w:numPr>
      </w:pPr>
      <w:r>
        <w:t>Show the new Possibility and offer two equal, pressure-free paths: Give it a day, or leave it as a Possibility.</w:t>
      </w:r>
    </w:p>
    <w:p>
      <w:pPr>
        <w:pStyle w:val="ListNumber"/>
        <w:numPr>
          <w:ilvl w:val="0"/>
          <w:numId w:val="10"/>
        </w:numPr>
      </w:pPr>
      <w:r>
        <w:t>If the person leaves it as a Possibility, preserve it and enter the normal product. Onboarding never forces scheduling or Begin.</w:t>
      </w:r>
    </w:p>
    <w:p>
      <w:pPr>
        <w:pStyle w:val="ListNumber"/>
        <w:numPr>
          <w:ilvl w:val="0"/>
          <w:numId w:val="10"/>
        </w:numPr>
      </w:pPr>
      <w:r>
        <w:t>If the person first attempts Give it a day, Schedule, or Begin without a confirmed account/profile IANA time zone, require a lightweight confirmation at that moment. The app may quietly detect a likely zone, but the browser-reported zone is only a suggestion or later mismatch/reconfirmation signal.</w:t>
      </w:r>
    </w:p>
    <w:p>
      <w:pPr>
        <w:pStyle w:val="ListBullet"/>
      </w:pPr>
      <w:r>
        <w:t>Onboarding does not require a display name, time-zone confirmation, or public identity before the person can create and keep a Possibility. Display name and public handle are required only when the person chooses to publish; avatar, bio, and external link remain optional.</w:t>
      </w:r>
    </w:p>
    <w:p>
      <w:pPr>
        <w:pStyle w:val="ListBullet"/>
      </w:pPr>
      <w:r>
        <w:t>Onboarding progress autosaves. The first Possibility may simply remain a Possibility without pressure, and optional or deferred identity steps never block private use.</w:t>
      </w:r>
    </w:p>
    <w:p>
      <w:pPr>
        <w:pStyle w:val="Heading1"/>
      </w:pPr>
      <w:r>
        <w:t>14. Public/private behavior and minimal identity</w:t>
      </w:r>
    </w:p>
    <w:p>
      <w:pPr>
        <w:pStyle w:val="Heading2"/>
      </w:pPr>
      <w:r>
        <w:t>14.1 Privacy defaults</w:t>
      </w:r>
    </w:p>
    <w:p>
      <w:pPr>
        <w:pStyle w:val="ListBullet"/>
      </w:pPr>
      <w:r>
        <w:t>Every Possibility, Brief, Active Day addition, closeout draft, attachment, Completed Obsession, and per-Obsession Archive is private by default.</w:t>
      </w:r>
    </w:p>
    <w:p>
      <w:pPr>
        <w:pStyle w:val="ListBullet"/>
      </w:pPr>
      <w:r>
        <w:t>A Completed Obsession may be made Public only through an explicit whole-exhibit choice at Finish or afterward; there is no global ‘publish everything’ switch and no public depth selector.</w:t>
      </w:r>
    </w:p>
    <w:p>
      <w:pPr>
        <w:pStyle w:val="ListBullet"/>
      </w:pPr>
      <w:r>
        <w:t>Drafts and the Extra Large Archive—including the frozen starting record, preserved raw material, and everything that came back—never appear publicly. Public assets and fields must come only from the explicit whole-exhibit projection.</w:t>
      </w:r>
    </w:p>
    <w:p>
      <w:pPr>
        <w:pStyle w:val="Heading2"/>
      </w:pPr>
      <w:r>
        <w:t>14.2 Minimal public identity</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2100"/>
            <w:shd w:fill="E8EEF8"/>
            <w:vAlign w:val="center"/>
            <w:tcMar>
              <w:top w:w="90" w:type="dxa"/>
              <w:start w:w="120" w:type="dxa"/>
              <w:bottom w:w="90" w:type="dxa"/>
              <w:end w:w="120" w:type="dxa"/>
            </w:tcMar>
          </w:tcPr>
          <w:p>
            <w:r>
              <w:rPr>
                <w:b/>
                <w:color w:val="304B9B"/>
                <w:sz w:val="19"/>
              </w:rPr>
              <w:t>Public field</w:t>
            </w:r>
          </w:p>
        </w:tc>
        <w:tc>
          <w:tcPr>
            <w:tcW w:type="dxa" w:w="1900"/>
            <w:shd w:fill="E8EEF8"/>
            <w:vAlign w:val="center"/>
            <w:tcMar>
              <w:top w:w="90" w:type="dxa"/>
              <w:start w:w="120" w:type="dxa"/>
              <w:bottom w:w="90" w:type="dxa"/>
              <w:end w:w="120" w:type="dxa"/>
            </w:tcMar>
          </w:tcPr>
          <w:p>
            <w:r>
              <w:rPr>
                <w:b/>
                <w:color w:val="304B9B"/>
                <w:sz w:val="19"/>
              </w:rPr>
              <w:t>Requirement</w:t>
            </w:r>
          </w:p>
        </w:tc>
        <w:tc>
          <w:tcPr>
            <w:tcW w:type="dxa" w:w="5360"/>
            <w:shd w:fill="E8EEF8"/>
            <w:vAlign w:val="center"/>
            <w:tcMar>
              <w:top w:w="90" w:type="dxa"/>
              <w:start w:w="120" w:type="dxa"/>
              <w:bottom w:w="90" w:type="dxa"/>
              <w:end w:w="120" w:type="dxa"/>
            </w:tcMar>
          </w:tcPr>
          <w:p>
            <w:r>
              <w:rPr>
                <w:b/>
                <w:color w:val="304B9B"/>
                <w:sz w:val="19"/>
              </w:rPr>
              <w:t>Rule</w:t>
            </w:r>
          </w:p>
        </w:tc>
      </w:tr>
      <w:tr>
        <w:trPr>
          <w:cantSplit/>
        </w:trPr>
        <w:tc>
          <w:tcPr>
            <w:tcW w:type="dxa" w:w="2100"/>
            <w:vAlign w:val="center"/>
            <w:tcMar>
              <w:top w:w="90" w:type="dxa"/>
              <w:start w:w="120" w:type="dxa"/>
              <w:bottom w:w="90" w:type="dxa"/>
              <w:end w:w="120" w:type="dxa"/>
            </w:tcMar>
          </w:tcPr>
          <w:p>
            <w:pPr>
              <w:spacing w:after="40" w:line="252" w:lineRule="auto"/>
            </w:pPr>
            <w:r>
              <w:rPr>
                <w:sz w:val="18"/>
              </w:rPr>
              <w:t>Display name</w:t>
            </w:r>
          </w:p>
        </w:tc>
        <w:tc>
          <w:tcPr>
            <w:tcW w:type="dxa" w:w="1900"/>
            <w:vAlign w:val="center"/>
            <w:tcMar>
              <w:top w:w="90" w:type="dxa"/>
              <w:start w:w="120" w:type="dxa"/>
              <w:bottom w:w="90" w:type="dxa"/>
              <w:end w:w="120" w:type="dxa"/>
            </w:tcMar>
          </w:tcPr>
          <w:p>
            <w:pPr>
              <w:spacing w:after="40" w:line="252" w:lineRule="auto"/>
            </w:pPr>
            <w:r>
              <w:rPr>
                <w:sz w:val="18"/>
              </w:rPr>
              <w:t>Required to publish</w:t>
            </w:r>
          </w:p>
        </w:tc>
        <w:tc>
          <w:tcPr>
            <w:tcW w:type="dxa" w:w="5360"/>
            <w:vAlign w:val="center"/>
            <w:tcMar>
              <w:top w:w="90" w:type="dxa"/>
              <w:start w:w="120" w:type="dxa"/>
              <w:bottom w:w="90" w:type="dxa"/>
              <w:end w:w="120" w:type="dxa"/>
            </w:tcMar>
          </w:tcPr>
          <w:p>
            <w:pPr>
              <w:spacing w:after="40" w:line="252" w:lineRule="auto"/>
            </w:pPr>
            <w:r>
              <w:rPr>
                <w:sz w:val="18"/>
              </w:rPr>
              <w:t>May be a real name, chosen name, or studio identity.</w:t>
            </w:r>
          </w:p>
        </w:tc>
      </w:tr>
      <w:tr>
        <w:trPr>
          <w:cantSplit/>
        </w:trPr>
        <w:tc>
          <w:tcPr>
            <w:tcW w:type="dxa" w:w="2100"/>
            <w:vAlign w:val="center"/>
            <w:tcMar>
              <w:top w:w="90" w:type="dxa"/>
              <w:start w:w="120" w:type="dxa"/>
              <w:bottom w:w="90" w:type="dxa"/>
              <w:end w:w="120" w:type="dxa"/>
            </w:tcMar>
          </w:tcPr>
          <w:p>
            <w:pPr>
              <w:spacing w:after="40" w:line="252" w:lineRule="auto"/>
            </w:pPr>
            <w:r>
              <w:rPr>
                <w:sz w:val="18"/>
              </w:rPr>
              <w:t>Handle / public URL</w:t>
            </w:r>
          </w:p>
        </w:tc>
        <w:tc>
          <w:tcPr>
            <w:tcW w:type="dxa" w:w="1900"/>
            <w:vAlign w:val="center"/>
            <w:tcMar>
              <w:top w:w="90" w:type="dxa"/>
              <w:start w:w="120" w:type="dxa"/>
              <w:bottom w:w="90" w:type="dxa"/>
              <w:end w:w="120" w:type="dxa"/>
            </w:tcMar>
          </w:tcPr>
          <w:p>
            <w:pPr>
              <w:spacing w:after="40" w:line="252" w:lineRule="auto"/>
            </w:pPr>
            <w:r>
              <w:rPr>
                <w:sz w:val="18"/>
              </w:rPr>
              <w:t>Required to publish</w:t>
            </w:r>
          </w:p>
        </w:tc>
        <w:tc>
          <w:tcPr>
            <w:tcW w:type="dxa" w:w="5360"/>
            <w:vAlign w:val="center"/>
            <w:tcMar>
              <w:top w:w="90" w:type="dxa"/>
              <w:start w:w="120" w:type="dxa"/>
              <w:bottom w:w="90" w:type="dxa"/>
              <w:end w:w="120" w:type="dxa"/>
            </w:tcMar>
          </w:tcPr>
          <w:p>
            <w:pPr>
              <w:spacing w:after="40" w:line="252" w:lineRule="auto"/>
            </w:pPr>
            <w:r>
              <w:rPr>
                <w:sz w:val="18"/>
              </w:rPr>
              <w:t>Unique, change-managed; old links must not leak private content.</w:t>
            </w:r>
          </w:p>
        </w:tc>
      </w:tr>
      <w:tr>
        <w:trPr>
          <w:cantSplit/>
        </w:trPr>
        <w:tc>
          <w:tcPr>
            <w:tcW w:type="dxa" w:w="2100"/>
            <w:vAlign w:val="center"/>
            <w:tcMar>
              <w:top w:w="90" w:type="dxa"/>
              <w:start w:w="120" w:type="dxa"/>
              <w:bottom w:w="90" w:type="dxa"/>
              <w:end w:w="120" w:type="dxa"/>
            </w:tcMar>
          </w:tcPr>
          <w:p>
            <w:pPr>
              <w:spacing w:after="40" w:line="252" w:lineRule="auto"/>
            </w:pPr>
            <w:r>
              <w:rPr>
                <w:sz w:val="18"/>
              </w:rPr>
              <w:t>Avatar</w:t>
            </w:r>
          </w:p>
        </w:tc>
        <w:tc>
          <w:tcPr>
            <w:tcW w:type="dxa" w:w="1900"/>
            <w:vAlign w:val="center"/>
            <w:tcMar>
              <w:top w:w="90" w:type="dxa"/>
              <w:start w:w="120" w:type="dxa"/>
              <w:bottom w:w="90" w:type="dxa"/>
              <w:end w:w="120" w:type="dxa"/>
            </w:tcMar>
          </w:tcPr>
          <w:p>
            <w:pPr>
              <w:spacing w:after="40" w:line="252" w:lineRule="auto"/>
            </w:pPr>
            <w:r>
              <w:rPr>
                <w:sz w:val="18"/>
              </w:rPr>
              <w:t>Optional</w:t>
            </w:r>
          </w:p>
        </w:tc>
        <w:tc>
          <w:tcPr>
            <w:tcW w:type="dxa" w:w="5360"/>
            <w:vAlign w:val="center"/>
            <w:tcMar>
              <w:top w:w="90" w:type="dxa"/>
              <w:start w:w="120" w:type="dxa"/>
              <w:bottom w:w="90" w:type="dxa"/>
              <w:end w:w="120" w:type="dxa"/>
            </w:tcMar>
          </w:tcPr>
          <w:p>
            <w:pPr>
              <w:spacing w:after="40" w:line="252" w:lineRule="auto"/>
            </w:pPr>
            <w:r>
              <w:rPr>
                <w:sz w:val="18"/>
              </w:rPr>
              <w:t>No requirement for a face or personal photograph.</w:t>
            </w:r>
          </w:p>
        </w:tc>
      </w:tr>
      <w:tr>
        <w:trPr>
          <w:cantSplit/>
        </w:trPr>
        <w:tc>
          <w:tcPr>
            <w:tcW w:type="dxa" w:w="2100"/>
            <w:vAlign w:val="center"/>
            <w:tcMar>
              <w:top w:w="90" w:type="dxa"/>
              <w:start w:w="120" w:type="dxa"/>
              <w:bottom w:w="90" w:type="dxa"/>
              <w:end w:w="120" w:type="dxa"/>
            </w:tcMar>
          </w:tcPr>
          <w:p>
            <w:pPr>
              <w:spacing w:after="40" w:line="252" w:lineRule="auto"/>
            </w:pPr>
            <w:r>
              <w:rPr>
                <w:sz w:val="18"/>
              </w:rPr>
              <w:t>Short bio</w:t>
            </w:r>
          </w:p>
        </w:tc>
        <w:tc>
          <w:tcPr>
            <w:tcW w:type="dxa" w:w="1900"/>
            <w:vAlign w:val="center"/>
            <w:tcMar>
              <w:top w:w="90" w:type="dxa"/>
              <w:start w:w="120" w:type="dxa"/>
              <w:bottom w:w="90" w:type="dxa"/>
              <w:end w:w="120" w:type="dxa"/>
            </w:tcMar>
          </w:tcPr>
          <w:p>
            <w:pPr>
              <w:spacing w:after="40" w:line="252" w:lineRule="auto"/>
            </w:pPr>
            <w:r>
              <w:rPr>
                <w:sz w:val="18"/>
              </w:rPr>
              <w:t>Optional</w:t>
            </w:r>
          </w:p>
        </w:tc>
        <w:tc>
          <w:tcPr>
            <w:tcW w:type="dxa" w:w="5360"/>
            <w:vAlign w:val="center"/>
            <w:tcMar>
              <w:top w:w="90" w:type="dxa"/>
              <w:start w:w="120" w:type="dxa"/>
              <w:bottom w:w="90" w:type="dxa"/>
              <w:end w:w="120" w:type="dxa"/>
            </w:tcMar>
          </w:tcPr>
          <w:p>
            <w:pPr>
              <w:spacing w:after="40" w:line="252" w:lineRule="auto"/>
            </w:pPr>
            <w:r>
              <w:rPr>
                <w:sz w:val="18"/>
              </w:rPr>
              <w:t>Plain text; no follower-oriented prompts.</w:t>
            </w:r>
          </w:p>
        </w:tc>
      </w:tr>
      <w:tr>
        <w:trPr>
          <w:cantSplit/>
        </w:trPr>
        <w:tc>
          <w:tcPr>
            <w:tcW w:type="dxa" w:w="2100"/>
            <w:vAlign w:val="center"/>
            <w:tcMar>
              <w:top w:w="90" w:type="dxa"/>
              <w:start w:w="120" w:type="dxa"/>
              <w:bottom w:w="90" w:type="dxa"/>
              <w:end w:w="120" w:type="dxa"/>
            </w:tcMar>
          </w:tcPr>
          <w:p>
            <w:pPr>
              <w:spacing w:after="40" w:line="252" w:lineRule="auto"/>
            </w:pPr>
            <w:r>
              <w:rPr>
                <w:sz w:val="18"/>
              </w:rPr>
              <w:t>External link</w:t>
            </w:r>
          </w:p>
        </w:tc>
        <w:tc>
          <w:tcPr>
            <w:tcW w:type="dxa" w:w="1900"/>
            <w:vAlign w:val="center"/>
            <w:tcMar>
              <w:top w:w="90" w:type="dxa"/>
              <w:start w:w="120" w:type="dxa"/>
              <w:bottom w:w="90" w:type="dxa"/>
              <w:end w:w="120" w:type="dxa"/>
            </w:tcMar>
          </w:tcPr>
          <w:p>
            <w:pPr>
              <w:spacing w:after="40" w:line="252" w:lineRule="auto"/>
            </w:pPr>
            <w:r>
              <w:rPr>
                <w:sz w:val="18"/>
              </w:rPr>
              <w:t>Optional</w:t>
            </w:r>
          </w:p>
        </w:tc>
        <w:tc>
          <w:tcPr>
            <w:tcW w:type="dxa" w:w="5360"/>
            <w:vAlign w:val="center"/>
            <w:tcMar>
              <w:top w:w="90" w:type="dxa"/>
              <w:start w:w="120" w:type="dxa"/>
              <w:bottom w:w="90" w:type="dxa"/>
              <w:end w:w="120" w:type="dxa"/>
            </w:tcMar>
          </w:tcPr>
          <w:p>
            <w:pPr>
              <w:spacing w:after="40" w:line="252" w:lineRule="auto"/>
            </w:pPr>
            <w:r>
              <w:rPr>
                <w:sz w:val="18"/>
              </w:rPr>
              <w:t>At most a minimal identity link set in v0.1.</w:t>
            </w:r>
          </w:p>
        </w:tc>
      </w:tr>
    </w:tbl>
    <w:p>
      <w:pPr>
        <w:spacing w:after="0"/>
      </w:pPr>
    </w:p>
    <w:p>
      <w:pPr>
        <w:pStyle w:val="Heading2"/>
      </w:pPr>
      <w:r>
        <w:t>14.3 Public surfaces</w:t>
      </w:r>
    </w:p>
    <w:p>
      <w:pPr>
        <w:pStyle w:val="ListBullet"/>
      </w:pPr>
      <w:r>
        <w:t xml:space="preserve"> A minimal public profile may show identity plus intentionally public finished exhibits.</w:t>
      </w:r>
    </w:p>
    <w:p>
      <w:pPr>
        <w:pStyle w:val="ListBullet"/>
      </w:pPr>
      <w:r>
        <w:t xml:space="preserve"> A public exhibit is a direct, composed page—not a social post in a feed.</w:t>
      </w:r>
    </w:p>
    <w:p>
      <w:pPr>
        <w:pStyle w:val="ListBullet"/>
      </w:pPr>
      <w:r>
        <w:t xml:space="preserve"> No follows, likes, comments, reactions, reposts, view counts, trending, recommendations, or public activity status.</w:t>
      </w:r>
    </w:p>
    <w:p>
      <w:pPr>
        <w:pStyle w:val="ListBullet"/>
      </w:pPr>
      <w:r>
        <w:t xml:space="preserve"> Public pages must be readable without authentication and must contain only a server-produced public projection.</w:t>
      </w:r>
    </w:p>
    <w:p>
      <w:pPr>
        <w:pStyle w:val="Heading1"/>
      </w:pPr>
      <w:r>
        <w:t>15. Exact screen inventory</w:t>
      </w:r>
    </w:p>
    <w:tbl>
      <w:tblPr>
        <w:tblStyle w:val="TableGrid"/>
        <w:tblW w:type="auto" w:w="0"/>
        <w:jc w:val="left"/>
        <w:tblLayout w:type="fixed"/>
        <w:tblLook w:firstColumn="1" w:firstRow="1" w:lastColumn="0" w:lastRow="0" w:noHBand="0" w:noVBand="1" w:val="04A0"/>
      </w:tblPr>
      <w:tblGrid>
        <w:gridCol w:w="2412"/>
        <w:gridCol w:w="2412"/>
        <w:gridCol w:w="2412"/>
        <w:gridCol w:w="2412"/>
      </w:tblGrid>
      <w:tr>
        <w:trPr>
          <w:tblHeader w:val="true"/>
          <w:cantSplit/>
          <w:cantSplit/>
        </w:trPr>
        <w:tc>
          <w:tcPr>
            <w:tcW w:type="dxa" w:w="580"/>
            <w:shd w:fill="E8EEF8"/>
            <w:vAlign w:val="center"/>
            <w:tcMar>
              <w:top w:w="90" w:type="dxa"/>
              <w:start w:w="120" w:type="dxa"/>
              <w:bottom w:w="90" w:type="dxa"/>
              <w:end w:w="120" w:type="dxa"/>
            </w:tcMar>
          </w:tcPr>
          <w:p>
            <w:r>
              <w:rPr>
                <w:b/>
                <w:color w:val="304B9B"/>
                <w:sz w:val="19"/>
              </w:rPr>
              <w:t>ID</w:t>
            </w:r>
          </w:p>
        </w:tc>
        <w:tc>
          <w:tcPr>
            <w:tcW w:type="dxa" w:w="1850"/>
            <w:shd w:fill="E8EEF8"/>
            <w:vAlign w:val="center"/>
            <w:tcMar>
              <w:top w:w="90" w:type="dxa"/>
              <w:start w:w="120" w:type="dxa"/>
              <w:bottom w:w="90" w:type="dxa"/>
              <w:end w:w="120" w:type="dxa"/>
            </w:tcMar>
          </w:tcPr>
          <w:p>
            <w:r>
              <w:rPr>
                <w:b/>
                <w:color w:val="304B9B"/>
                <w:sz w:val="19"/>
              </w:rPr>
              <w:t>Screen</w:t>
            </w:r>
          </w:p>
        </w:tc>
        <w:tc>
          <w:tcPr>
            <w:tcW w:type="dxa" w:w="3300"/>
            <w:shd w:fill="E8EEF8"/>
            <w:vAlign w:val="center"/>
            <w:tcMar>
              <w:top w:w="90" w:type="dxa"/>
              <w:start w:w="120" w:type="dxa"/>
              <w:bottom w:w="90" w:type="dxa"/>
              <w:end w:w="120" w:type="dxa"/>
            </w:tcMar>
          </w:tcPr>
          <w:p>
            <w:r>
              <w:rPr>
                <w:b/>
                <w:color w:val="304B9B"/>
                <w:sz w:val="19"/>
              </w:rPr>
              <w:t>Audience / purpose</w:t>
            </w:r>
          </w:p>
        </w:tc>
        <w:tc>
          <w:tcPr>
            <w:tcW w:type="dxa" w:w="3630"/>
            <w:shd w:fill="E8EEF8"/>
            <w:vAlign w:val="center"/>
            <w:tcMar>
              <w:top w:w="90" w:type="dxa"/>
              <w:start w:w="120" w:type="dxa"/>
              <w:bottom w:w="90" w:type="dxa"/>
              <w:end w:w="120" w:type="dxa"/>
            </w:tcMar>
          </w:tcPr>
          <w:p>
            <w:r>
              <w:rPr>
                <w:b/>
                <w:color w:val="304B9B"/>
                <w:sz w:val="19"/>
              </w:rPr>
              <w:t>Primary actions</w:t>
            </w:r>
          </w:p>
        </w:tc>
      </w:tr>
      <w:tr>
        <w:tc>
          <w:tcPr>
            <w:tcW w:type="dxa" w:w="2412"/>
          </w:tcPr>
          <w:p>
            <w:r>
              <w:t>S01</w:t>
            </w:r>
          </w:p>
        </w:tc>
        <w:tc>
          <w:tcPr>
            <w:tcW w:type="dxa" w:w="2412"/>
          </w:tcPr>
          <w:p>
            <w:r>
              <w:t>Welcome / Sign In</w:t>
            </w:r>
          </w:p>
        </w:tc>
        <w:tc>
          <w:tcPr>
            <w:tcW w:type="dxa" w:w="2412"/>
          </w:tcPr>
          <w:p>
            <w:r>
              <w:t>Unauthenticated entry and account access.</w:t>
            </w:r>
          </w:p>
        </w:tc>
        <w:tc>
          <w:tcPr>
            <w:tcW w:type="dxa" w:w="2412"/>
          </w:tcPr>
          <w:p>
            <w:r>
              <w:t>Create account; sign in; recover access.</w:t>
            </w:r>
          </w:p>
        </w:tc>
      </w:tr>
      <w:tr>
        <w:tc>
          <w:tcPr>
            <w:tcW w:type="dxa" w:w="2412"/>
          </w:tcPr>
          <w:p>
            <w:r>
              <w:t>S02</w:t>
            </w:r>
          </w:p>
        </w:tc>
        <w:tc>
          <w:tcPr>
            <w:tcW w:type="dxa" w:w="2412"/>
          </w:tcPr>
          <w:p>
            <w:r>
              <w:t>Onboarding</w:t>
            </w:r>
          </w:p>
        </w:tc>
        <w:tc>
          <w:tcPr>
            <w:tcW w:type="dxa" w:w="2412"/>
          </w:tcPr>
          <w:p>
            <w:r>
              <w:t>Private first-run ceremony.</w:t>
            </w:r>
          </w:p>
        </w:tc>
        <w:tc>
          <w:tcPr>
            <w:tcW w:type="dxa" w:w="2412"/>
          </w:tcPr>
          <w:p>
            <w:r>
              <w:t>Welcome; answer ‘What might deserve a day?’; create the first Possibility; choose Give it a day or leave it as a Possibility; enter the normal product. No profile setup, display name, public identity, scheduling, Begin, or time-zone confirmation is required before basic Possibility creation.</w:t>
            </w:r>
          </w:p>
        </w:tc>
      </w:tr>
      <w:tr>
        <w:tc>
          <w:tcPr>
            <w:tcW w:type="dxa" w:w="2412"/>
          </w:tcPr>
          <w:p>
            <w:r>
              <w:t>S03</w:t>
            </w:r>
          </w:p>
        </w:tc>
        <w:tc>
          <w:tcPr>
            <w:tcW w:type="dxa" w:w="2412"/>
          </w:tcPr>
          <w:p>
            <w:r>
              <w:t>Today</w:t>
            </w:r>
          </w:p>
        </w:tc>
        <w:tc>
          <w:tcPr>
            <w:tcW w:type="dxa" w:w="2412"/>
          </w:tcPr>
          <w:p>
            <w:r>
              <w:t>Home: orient to today without dashboard pressure.</w:t>
            </w:r>
          </w:p>
        </w:tc>
        <w:tc>
          <w:tcPr>
            <w:tcW w:type="dxa" w:w="2412"/>
          </w:tcPr>
          <w:p>
            <w:r>
              <w:t>Open today’s scheduled item; Begin; resume Active Day/Closeout; capture Possibility.</w:t>
            </w:r>
          </w:p>
        </w:tc>
      </w:tr>
      <w:tr>
        <w:tc>
          <w:tcPr>
            <w:tcW w:type="dxa" w:w="2412"/>
          </w:tcPr>
          <w:p>
            <w:r>
              <w:t>S04</w:t>
            </w:r>
          </w:p>
        </w:tc>
        <w:tc>
          <w:tcPr>
            <w:tcW w:type="dxa" w:w="2412"/>
          </w:tcPr>
          <w:p>
            <w:r>
              <w:t>Possibilities</w:t>
            </w:r>
          </w:p>
        </w:tc>
        <w:tc>
          <w:tcPr>
            <w:tcW w:type="dxa" w:w="2412"/>
          </w:tcPr>
          <w:p>
            <w:r>
              <w:t>Quiet collection of unscheduled questions.</w:t>
            </w:r>
          </w:p>
        </w:tc>
        <w:tc>
          <w:tcPr>
            <w:tcW w:type="dxa" w:w="2412"/>
          </w:tcPr>
          <w:p>
            <w:r>
              <w:t>Create; open.</w:t>
            </w:r>
          </w:p>
        </w:tc>
      </w:tr>
      <w:tr>
        <w:tc>
          <w:tcPr>
            <w:tcW w:type="dxa" w:w="2412"/>
          </w:tcPr>
          <w:p>
            <w:r>
              <w:t>S05</w:t>
            </w:r>
          </w:p>
        </w:tc>
        <w:tc>
          <w:tcPr>
            <w:tcW w:type="dxa" w:w="2412"/>
          </w:tcPr>
          <w:p>
            <w:r>
              <w:t>Possibility Detail</w:t>
            </w:r>
          </w:p>
        </w:tc>
        <w:tc>
          <w:tcPr>
            <w:tcW w:type="dxa" w:w="2412"/>
          </w:tcPr>
          <w:p>
            <w:r>
              <w:t>Single Possibility detail.</w:t>
            </w:r>
          </w:p>
        </w:tc>
        <w:tc>
          <w:tcPr>
            <w:tcW w:type="dxa" w:w="2412"/>
          </w:tcPr>
          <w:p>
            <w:r>
              <w:t>Edit question/context/attachments/relationships; give it a day; Let it go.</w:t>
            </w:r>
          </w:p>
        </w:tc>
      </w:tr>
      <w:tr>
        <w:tc>
          <w:tcPr>
            <w:tcW w:type="dxa" w:w="2412"/>
          </w:tcPr>
          <w:p>
            <w:r>
              <w:t>S06</w:t>
            </w:r>
          </w:p>
        </w:tc>
        <w:tc>
          <w:tcPr>
            <w:tcW w:type="dxa" w:w="2412"/>
          </w:tcPr>
          <w:p>
            <w:r>
              <w:t>Schedule</w:t>
            </w:r>
          </w:p>
        </w:tc>
        <w:tc>
          <w:tcPr>
            <w:tcW w:type="dxa" w:w="2412"/>
          </w:tcPr>
          <w:p>
            <w:r>
              <w:t>Near-term date-led view emphasizing approximately the next 14 days, including direct scheduling from an eligible empty date.</w:t>
            </w:r>
          </w:p>
        </w:tc>
        <w:tc>
          <w:tcPr>
            <w:tcW w:type="dxa" w:w="2412"/>
          </w:tcPr>
          <w:p>
            <w:r>
              <w:t>Open the day’s single scheduled Brief; choose an eligible empty date; select an existing unscheduled Possibility and schedule it directly onto that date; dismiss without changing the day; remain on Schedule after success; replace, move, or return the scheduled Possibility; reach farther dates through a secondary action. The empty-date chooser provides no Possibility management or creation and does not route through S07.</w:t>
            </w:r>
          </w:p>
        </w:tc>
      </w:tr>
      <w:tr>
        <w:tc>
          <w:tcPr>
            <w:tcW w:type="dxa" w:w="2412"/>
          </w:tcPr>
          <w:p>
            <w:r>
              <w:t>S07</w:t>
            </w:r>
          </w:p>
        </w:tc>
        <w:tc>
          <w:tcPr>
            <w:tcW w:type="dxa" w:w="2412"/>
          </w:tcPr>
          <w:p>
            <w:r>
              <w:t>Give It a Day</w:t>
            </w:r>
          </w:p>
        </w:tc>
        <w:tc>
          <w:tcPr>
            <w:tcW w:type="dxa" w:w="2412"/>
          </w:tcPr>
          <w:p>
            <w:r>
              <w:t>Canonical Possibility-first date choice and rule validation after Give it a day from S05 Possibility Detail.</w:t>
            </w:r>
          </w:p>
        </w:tc>
        <w:tc>
          <w:tcPr>
            <w:tcW w:type="dxa" w:w="2412"/>
          </w:tcPr>
          <w:p>
            <w:r>
              <w:t>Choose or move date; confirm the account/profile IANA time zone if this is the first date-sensitive action; confirm; replace the day’s current Possibility; return it to Possibilities. S07 is not used after S06 has already collected both an eligible empty date and an unscheduled Possibility.</w:t>
            </w:r>
          </w:p>
        </w:tc>
      </w:tr>
      <w:tr>
        <w:tc>
          <w:tcPr>
            <w:tcW w:type="dxa" w:w="2412"/>
          </w:tcPr>
          <w:p>
            <w:r>
              <w:t>S08</w:t>
            </w:r>
          </w:p>
        </w:tc>
        <w:tc>
          <w:tcPr>
            <w:tcW w:type="dxa" w:w="2412"/>
          </w:tcPr>
          <w:p>
            <w:r>
              <w:t>Brief</w:t>
            </w:r>
          </w:p>
        </w:tc>
        <w:tc>
          <w:tcPr>
            <w:tcW w:type="dxa" w:w="2412"/>
          </w:tcPr>
          <w:p>
            <w:r>
              <w:t>Prepare the frozen before-record.</w:t>
            </w:r>
          </w:p>
        </w:tc>
        <w:tc>
          <w:tcPr>
            <w:tcW w:type="dxa" w:w="2412"/>
          </w:tcPr>
          <w:p>
            <w:r>
              <w:t>Edit Title, Question, one freeform area, attachments, relationships; Begin.</w:t>
            </w:r>
          </w:p>
        </w:tc>
      </w:tr>
      <w:tr>
        <w:tc>
          <w:tcPr>
            <w:tcW w:type="dxa" w:w="2412"/>
          </w:tcPr>
          <w:p>
            <w:r>
              <w:t>S09</w:t>
            </w:r>
          </w:p>
        </w:tc>
        <w:tc>
          <w:tcPr>
            <w:tcW w:type="dxa" w:w="2412"/>
          </w:tcPr>
          <w:p>
            <w:r>
              <w:t>Begin Confirmation</w:t>
            </w:r>
          </w:p>
        </w:tc>
        <w:tc>
          <w:tcPr>
            <w:tcW w:type="dxa" w:w="2412"/>
          </w:tcPr>
          <w:p>
            <w:r>
              <w:t>Deliberate threshold and final validation.</w:t>
            </w:r>
          </w:p>
        </w:tc>
        <w:tc>
          <w:tcPr>
            <w:tcW w:type="dxa" w:w="2412"/>
          </w:tcPr>
          <w:p>
            <w:r>
              <w:t>Confirm the account/profile IANA time zone if still unconfirmed; Begin; return to Brief; resolve spacing block.</w:t>
            </w:r>
          </w:p>
        </w:tc>
      </w:tr>
      <w:tr>
        <w:tc>
          <w:tcPr>
            <w:tcW w:type="dxa" w:w="2412"/>
          </w:tcPr>
          <w:p>
            <w:r>
              <w:t>S10</w:t>
            </w:r>
          </w:p>
        </w:tc>
        <w:tc>
          <w:tcPr>
            <w:tcW w:type="dxa" w:w="2412"/>
          </w:tcPr>
          <w:p>
            <w:r>
              <w:t>Active Day</w:t>
            </w:r>
          </w:p>
        </w:tc>
        <w:tc>
          <w:tcPr>
            <w:tcW w:type="dxa" w:w="2412"/>
          </w:tcPr>
          <w:p>
            <w:r>
              <w:t>Sparse orientation that stays out of the way.</w:t>
            </w:r>
          </w:p>
        </w:tc>
        <w:tc>
          <w:tcPr>
            <w:tcW w:type="dxa" w:w="2412"/>
          </w:tcPr>
          <w:p>
            <w:r>
              <w:t>View frozen Brief; optionally add to private Archive; Close Obsession.</w:t>
            </w:r>
          </w:p>
        </w:tc>
      </w:tr>
      <w:tr>
        <w:tc>
          <w:tcPr>
            <w:tcW w:type="dxa" w:w="2412"/>
          </w:tcPr>
          <w:p>
            <w:r>
              <w:t>S11</w:t>
            </w:r>
          </w:p>
        </w:tc>
        <w:tc>
          <w:tcPr>
            <w:tcW w:type="dxa" w:w="2412"/>
          </w:tcPr>
          <w:p>
            <w:r>
              <w:t>Reflect</w:t>
            </w:r>
          </w:p>
        </w:tc>
        <w:tc>
          <w:tcPr>
            <w:tcW w:type="dxa" w:w="2412"/>
          </w:tcPr>
          <w:p>
            <w:r>
              <w:t>Record Outcome and optional Discoveries/Story.</w:t>
            </w:r>
          </w:p>
        </w:tc>
        <w:tc>
          <w:tcPr>
            <w:tcW w:type="dxa" w:w="2412"/>
          </w:tcPr>
          <w:p>
            <w:r>
              <w:t>Write; continue; leave and resume.</w:t>
            </w:r>
          </w:p>
        </w:tc>
      </w:tr>
      <w:tr>
        <w:tc>
          <w:tcPr>
            <w:tcW w:type="dxa" w:w="2412"/>
          </w:tcPr>
          <w:p>
            <w:r>
              <w:t>S12</w:t>
            </w:r>
          </w:p>
        </w:tc>
        <w:tc>
          <w:tcPr>
            <w:tcW w:type="dxa" w:w="2412"/>
          </w:tcPr>
          <w:p>
            <w:r>
              <w:t>Show</w:t>
            </w:r>
          </w:p>
        </w:tc>
        <w:tc>
          <w:tcPr>
            <w:tcW w:type="dxa" w:w="2412"/>
          </w:tcPr>
          <w:p>
            <w:r>
              <w:t>Compose optional Results and Open Threads, and select the required Cover.</w:t>
            </w:r>
          </w:p>
        </w:tc>
        <w:tc>
          <w:tcPr>
            <w:tcW w:type="dxa" w:w="2412"/>
          </w:tcPr>
          <w:p>
            <w:r>
              <w:t>Add/edit/order Results; add Open Threads; Save an Open Thread as a related unscheduled Possibility; upload/select/crop/reposition/preview Cover; continue.</w:t>
            </w:r>
          </w:p>
        </w:tc>
      </w:tr>
      <w:tr>
        <w:tc>
          <w:tcPr>
            <w:tcW w:type="dxa" w:w="2412"/>
          </w:tcPr>
          <w:p>
            <w:r>
              <w:t>S13</w:t>
            </w:r>
          </w:p>
        </w:tc>
        <w:tc>
          <w:tcPr>
            <w:tcW w:type="dxa" w:w="2412"/>
          </w:tcPr>
          <w:p>
            <w:r>
              <w:t>Preserve</w:t>
            </w:r>
          </w:p>
        </w:tc>
        <w:tc>
          <w:tcPr>
            <w:tcW w:type="dxa" w:w="2412"/>
          </w:tcPr>
          <w:p>
            <w:r>
              <w:t>Place raw and returned material in the private Archive.</w:t>
            </w:r>
          </w:p>
        </w:tc>
        <w:tc>
          <w:tcPr>
            <w:tcW w:type="dxa" w:w="2412"/>
          </w:tcPr>
          <w:p>
            <w:r>
              <w:t>Add/organize Archive material; continue.</w:t>
            </w:r>
          </w:p>
        </w:tc>
      </w:tr>
      <w:tr>
        <w:tc>
          <w:tcPr>
            <w:tcW w:type="dxa" w:w="2412"/>
          </w:tcPr>
          <w:p>
            <w:r>
              <w:t>S14</w:t>
            </w:r>
          </w:p>
        </w:tc>
        <w:tc>
          <w:tcPr>
            <w:tcW w:type="dxa" w:w="2412"/>
          </w:tcPr>
          <w:p>
            <w:r>
              <w:t>Finish</w:t>
            </w:r>
          </w:p>
        </w:tc>
        <w:tc>
          <w:tcPr>
            <w:tcW w:type="dxa" w:w="2412"/>
          </w:tcPr>
          <w:p>
            <w:r>
              <w:t>Preview the full exhibit and choose whole-exhibit visibility.</w:t>
            </w:r>
          </w:p>
        </w:tc>
        <w:tc>
          <w:tcPr>
            <w:tcW w:type="dxa" w:w="2412"/>
          </w:tcPr>
          <w:p>
            <w:r>
              <w:t>Preview; choose Private (default) or Public; Finish; return and resume.</w:t>
            </w:r>
          </w:p>
        </w:tc>
      </w:tr>
      <w:tr>
        <w:tc>
          <w:tcPr>
            <w:tcW w:type="dxa" w:w="2412"/>
          </w:tcPr>
          <w:p>
            <w:r>
              <w:t>S15</w:t>
            </w:r>
          </w:p>
        </w:tc>
        <w:tc>
          <w:tcPr>
            <w:tcW w:type="dxa" w:w="2412"/>
          </w:tcPr>
          <w:p>
            <w:r>
              <w:t>Finished Exhibit</w:t>
            </w:r>
          </w:p>
        </w:tc>
        <w:tc>
          <w:tcPr>
            <w:tcW w:type="dxa" w:w="2412"/>
          </w:tcPr>
          <w:p>
            <w:r>
              <w:t>Canonical completed Obsession view.</w:t>
            </w:r>
          </w:p>
        </w:tc>
        <w:tc>
          <w:tcPr>
            <w:tcW w:type="dxa" w:w="2412"/>
          </w:tcPr>
          <w:p>
            <w:r>
              <w:t>Move through S/M/L depths; edit; change visibility; open Archive.</w:t>
            </w:r>
          </w:p>
        </w:tc>
      </w:tr>
      <w:tr>
        <w:tc>
          <w:tcPr>
            <w:tcW w:type="dxa" w:w="2412"/>
          </w:tcPr>
          <w:p>
            <w:r>
              <w:t>S16</w:t>
            </w:r>
          </w:p>
        </w:tc>
        <w:tc>
          <w:tcPr>
            <w:tcW w:type="dxa" w:w="2412"/>
          </w:tcPr>
          <w:p>
            <w:r>
              <w:t>Edit Exhibit</w:t>
            </w:r>
          </w:p>
        </w:tc>
        <w:tc>
          <w:tcPr>
            <w:tcW w:type="dxa" w:w="2412"/>
          </w:tcPr>
          <w:p>
            <w:r>
              <w:t>Post-completion presentation editing.</w:t>
            </w:r>
          </w:p>
        </w:tc>
        <w:tc>
          <w:tcPr>
            <w:tcW w:type="dxa" w:w="2412"/>
          </w:tcPr>
          <w:p>
            <w:r>
              <w:t>Edit presentational fields/Results/Cover; update public version; cancel.</w:t>
            </w:r>
          </w:p>
        </w:tc>
      </w:tr>
      <w:tr>
        <w:tc>
          <w:tcPr>
            <w:tcW w:type="dxa" w:w="2412"/>
          </w:tcPr>
          <w:p>
            <w:r>
              <w:t>S17</w:t>
            </w:r>
          </w:p>
        </w:tc>
        <w:tc>
          <w:tcPr>
            <w:tcW w:type="dxa" w:w="2412"/>
          </w:tcPr>
          <w:p>
            <w:r>
              <w:t>History / Gallery</w:t>
            </w:r>
          </w:p>
        </w:tc>
        <w:tc>
          <w:tcPr>
            <w:tcW w:type="dxa" w:w="2412"/>
          </w:tcPr>
          <w:p>
            <w:r>
              <w:t>Browse all Completed Obsessions.</w:t>
            </w:r>
          </w:p>
        </w:tc>
        <w:tc>
          <w:tcPr>
            <w:tcW w:type="dxa" w:w="2412"/>
          </w:tcPr>
          <w:p>
            <w:r>
              <w:t>Open exhibit; search user-authored text.</w:t>
            </w:r>
          </w:p>
        </w:tc>
      </w:tr>
      <w:tr>
        <w:tc>
          <w:tcPr>
            <w:tcW w:type="dxa" w:w="2412"/>
          </w:tcPr>
          <w:p>
            <w:r>
              <w:t>S18</w:t>
            </w:r>
          </w:p>
        </w:tc>
        <w:tc>
          <w:tcPr>
            <w:tcW w:type="dxa" w:w="2412"/>
          </w:tcPr>
          <w:p>
            <w:r>
              <w:t>Unfinished</w:t>
            </w:r>
          </w:p>
        </w:tc>
        <w:tc>
          <w:tcPr>
            <w:tcW w:type="dxa" w:w="2412"/>
          </w:tcPr>
          <w:p>
            <w:r>
              <w:t>Quiet private list of active/closeout-incomplete records.</w:t>
            </w:r>
          </w:p>
        </w:tc>
        <w:tc>
          <w:tcPr>
            <w:tcW w:type="dxa" w:w="2412"/>
          </w:tcPr>
          <w:p>
            <w:r>
              <w:t>Resume; open.</w:t>
            </w:r>
          </w:p>
        </w:tc>
      </w:tr>
      <w:tr>
        <w:tc>
          <w:tcPr>
            <w:tcW w:type="dxa" w:w="2412"/>
          </w:tcPr>
          <w:p>
            <w:r>
              <w:t>S19</w:t>
            </w:r>
          </w:p>
        </w:tc>
        <w:tc>
          <w:tcPr>
            <w:tcW w:type="dxa" w:w="2412"/>
          </w:tcPr>
          <w:p>
            <w:r>
              <w:t>Private Archive</w:t>
            </w:r>
          </w:p>
        </w:tc>
        <w:tc>
          <w:tcPr>
            <w:tcW w:type="dxa" w:w="2412"/>
          </w:tcPr>
          <w:p>
            <w:r>
              <w:t>Owner-only back room attached to one Completed Obsession.</w:t>
            </w:r>
          </w:p>
        </w:tc>
        <w:tc>
          <w:tcPr>
            <w:tcW w:type="dxa" w:w="2412"/>
          </w:tcPr>
          <w:p>
            <w:r>
              <w:t>View What You Started With / What You Preserved / What Came Back; add or organize private material; return to exhibit.</w:t>
            </w:r>
          </w:p>
        </w:tc>
      </w:tr>
      <w:tr>
        <w:tc>
          <w:tcPr>
            <w:tcW w:type="dxa" w:w="2412"/>
          </w:tcPr>
          <w:p>
            <w:r>
              <w:t>S20</w:t>
            </w:r>
          </w:p>
        </w:tc>
        <w:tc>
          <w:tcPr>
            <w:tcW w:type="dxa" w:w="2412"/>
          </w:tcPr>
          <w:p>
            <w:r>
              <w:t>Public Profile</w:t>
            </w:r>
          </w:p>
        </w:tc>
        <w:tc>
          <w:tcPr>
            <w:tcW w:type="dxa" w:w="2412"/>
          </w:tcPr>
          <w:p>
            <w:r>
              <w:t>Minimal public identity and public exhibits.</w:t>
            </w:r>
          </w:p>
        </w:tc>
        <w:tc>
          <w:tcPr>
            <w:tcW w:type="dxa" w:w="2412"/>
          </w:tcPr>
          <w:p>
            <w:r>
              <w:t>Open public exhibit; external link.</w:t>
            </w:r>
          </w:p>
        </w:tc>
      </w:tr>
      <w:tr>
        <w:tc>
          <w:tcPr>
            <w:tcW w:type="dxa" w:w="2412"/>
          </w:tcPr>
          <w:p>
            <w:r>
              <w:t>S21</w:t>
            </w:r>
          </w:p>
        </w:tc>
        <w:tc>
          <w:tcPr>
            <w:tcW w:type="dxa" w:w="2412"/>
          </w:tcPr>
          <w:p>
            <w:r>
              <w:t>Public Exhibit</w:t>
            </w:r>
          </w:p>
        </w:tc>
        <w:tc>
          <w:tcPr>
            <w:tcW w:type="dxa" w:w="2412"/>
          </w:tcPr>
          <w:p>
            <w:r>
              <w:t>Public projection of one whole finished exhibit, excluding Archive.</w:t>
            </w:r>
          </w:p>
        </w:tc>
        <w:tc>
          <w:tcPr>
            <w:tcW w:type="dxa" w:w="2412"/>
          </w:tcPr>
          <w:p>
            <w:r>
              <w:t>Read; explore S/M/L depths; follow declared public related links only.</w:t>
            </w:r>
          </w:p>
        </w:tc>
      </w:tr>
      <w:tr>
        <w:tc>
          <w:tcPr>
            <w:tcW w:type="dxa" w:w="2412"/>
          </w:tcPr>
          <w:p>
            <w:r>
              <w:t>S22</w:t>
            </w:r>
          </w:p>
        </w:tc>
        <w:tc>
          <w:tcPr>
            <w:tcW w:type="dxa" w:w="2412"/>
          </w:tcPr>
          <w:p>
            <w:r>
              <w:t>Settings</w:t>
            </w:r>
          </w:p>
        </w:tc>
        <w:tc>
          <w:tcPr>
            <w:tcW w:type="dxa" w:w="2412"/>
          </w:tcPr>
          <w:p>
            <w:r>
              <w:t>Account, time zone, public identity, privacy, and data controls.</w:t>
            </w:r>
          </w:p>
        </w:tc>
        <w:tc>
          <w:tcPr>
            <w:tcW w:type="dxa" w:w="2412"/>
          </w:tcPr>
          <w:p>
            <w:r>
              <w:t>Edit; export; permanent deletion controls; sign out.</w:t>
            </w:r>
          </w:p>
        </w:tc>
      </w:tr>
    </w:tbl>
    <w:p>
      <w:pPr>
        <w:spacing w:after="0"/>
      </w:pP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r>
              <w:t>NAVIGATION  Authenticated primary navigation is Today, Possibilities, Schedule, and History. Unfinished records, each Obsession’s Archive, public identity, privacy, and data controls live behind their relevant private surfaces; they are not engagement destinations.</w:t>
            </w:r>
          </w:p>
        </w:tc>
      </w:tr>
    </w:tbl>
    <w:p>
      <w:pPr>
        <w:spacing w:after="0"/>
      </w:pPr>
    </w:p>
    <w:p>
      <w:pPr>
        <w:pStyle w:val="Heading1"/>
      </w:pPr>
      <w:r>
        <w:t>16. States, actions, and transitions</w:t>
      </w:r>
    </w:p>
    <w:p>
      <w:pPr>
        <w:pStyle w:val="Heading2"/>
      </w:pPr>
      <w:r>
        <w:t>16.1 Core state machines</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1550"/>
            <w:shd w:fill="E8EEF8"/>
            <w:vAlign w:val="center"/>
            <w:tcMar>
              <w:top w:w="90" w:type="dxa"/>
              <w:start w:w="120" w:type="dxa"/>
              <w:bottom w:w="90" w:type="dxa"/>
              <w:end w:w="120" w:type="dxa"/>
            </w:tcMar>
          </w:tcPr>
          <w:p>
            <w:r>
              <w:rPr>
                <w:b/>
                <w:color w:val="304B9B"/>
                <w:sz w:val="19"/>
              </w:rPr>
              <w:t>Entity</w:t>
            </w:r>
          </w:p>
        </w:tc>
        <w:tc>
          <w:tcPr>
            <w:tcW w:type="dxa" w:w="3300"/>
            <w:shd w:fill="E8EEF8"/>
            <w:vAlign w:val="center"/>
            <w:tcMar>
              <w:top w:w="90" w:type="dxa"/>
              <w:start w:w="120" w:type="dxa"/>
              <w:bottom w:w="90" w:type="dxa"/>
              <w:end w:w="120" w:type="dxa"/>
            </w:tcMar>
          </w:tcPr>
          <w:p>
            <w:r>
              <w:rPr>
                <w:b/>
                <w:color w:val="304B9B"/>
                <w:sz w:val="19"/>
              </w:rPr>
              <w:t>Allowed states</w:t>
            </w:r>
          </w:p>
        </w:tc>
        <w:tc>
          <w:tcPr>
            <w:tcW w:type="dxa" w:w="4510"/>
            <w:shd w:fill="E8EEF8"/>
            <w:vAlign w:val="center"/>
            <w:tcMar>
              <w:top w:w="90" w:type="dxa"/>
              <w:start w:w="120" w:type="dxa"/>
              <w:bottom w:w="90" w:type="dxa"/>
              <w:end w:w="120" w:type="dxa"/>
            </w:tcMar>
          </w:tcPr>
          <w:p>
            <w:r>
              <w:rPr>
                <w:b/>
                <w:color w:val="304B9B"/>
                <w:sz w:val="19"/>
              </w:rPr>
              <w:t>Key transition constraints</w:t>
            </w:r>
          </w:p>
        </w:tc>
      </w:tr>
      <w:tr>
        <w:trPr>
          <w:cantSplit/>
        </w:trPr>
        <w:tc>
          <w:tcPr>
            <w:tcW w:type="dxa" w:w="1550"/>
            <w:vAlign w:val="center"/>
            <w:tcMar>
              <w:top w:w="90" w:type="dxa"/>
              <w:start w:w="120" w:type="dxa"/>
              <w:bottom w:w="90" w:type="dxa"/>
              <w:end w:w="120" w:type="dxa"/>
            </w:tcMar>
          </w:tcPr>
          <w:p>
            <w:pPr>
              <w:spacing w:after="40" w:line="252" w:lineRule="auto"/>
            </w:pPr>
            <w:r>
              <w:rPr>
                <w:sz w:val="18"/>
              </w:rPr>
              <w:t>Possibility</w:t>
            </w:r>
          </w:p>
        </w:tc>
        <w:tc>
          <w:tcPr>
            <w:tcW w:type="dxa" w:w="3300"/>
            <w:vAlign w:val="center"/>
            <w:tcMar>
              <w:top w:w="90" w:type="dxa"/>
              <w:start w:w="120" w:type="dxa"/>
              <w:bottom w:w="90" w:type="dxa"/>
              <w:end w:w="120" w:type="dxa"/>
            </w:tcMar>
          </w:tcPr>
          <w:p>
            <w:pPr>
              <w:spacing w:after="40" w:line="252" w:lineRule="auto"/>
            </w:pPr>
            <w:r>
              <w:t>unscheduled → scheduled → converted; removed (internal state after the person chooses Let it go)</w:t>
            </w:r>
          </w:p>
        </w:tc>
        <w:tc>
          <w:tcPr>
            <w:tcW w:type="dxa" w:w="4510"/>
            <w:vAlign w:val="center"/>
            <w:tcMar>
              <w:top w:w="90" w:type="dxa"/>
              <w:start w:w="120" w:type="dxa"/>
              <w:bottom w:w="90" w:type="dxa"/>
              <w:end w:w="120" w:type="dxa"/>
            </w:tcMar>
          </w:tcPr>
          <w:p>
            <w:pPr>
              <w:spacing w:after="40" w:line="252" w:lineRule="auto"/>
            </w:pPr>
            <w:r>
              <w:t>converted occurs only through Begin when still scheduled for the current local date resolved from the server instant plus confirmed account/profile IANA time zone; if the zone is unconfirmed, lightweight confirmation is required before the first date-sensitive Give it a day / Schedule / Begin action; unschedule returns to unscheduled; each person/date permits at most one Possibility in scheduled state; a date with an actual Active, Closeout, or Finished Obsession is locked; Begin locks that day to the resulting Obsession.</w:t>
            </w:r>
          </w:p>
        </w:tc>
      </w:tr>
      <w:tr>
        <w:trPr>
          <w:cantSplit/>
        </w:trPr>
        <w:tc>
          <w:tcPr>
            <w:tcW w:type="dxa" w:w="1550"/>
            <w:vAlign w:val="center"/>
            <w:tcMar>
              <w:top w:w="90" w:type="dxa"/>
              <w:start w:w="120" w:type="dxa"/>
              <w:bottom w:w="90" w:type="dxa"/>
              <w:end w:w="120" w:type="dxa"/>
            </w:tcMar>
          </w:tcPr>
          <w:p>
            <w:pPr>
              <w:spacing w:after="40" w:line="252" w:lineRule="auto"/>
            </w:pPr>
            <w:r>
              <w:rPr>
                <w:sz w:val="18"/>
              </w:rPr>
              <w:t>Brief</w:t>
            </w:r>
          </w:p>
        </w:tc>
        <w:tc>
          <w:tcPr>
            <w:tcW w:type="dxa" w:w="3300"/>
            <w:vAlign w:val="center"/>
            <w:tcMar>
              <w:top w:w="90" w:type="dxa"/>
              <w:start w:w="120" w:type="dxa"/>
              <w:bottom w:w="90" w:type="dxa"/>
              <w:end w:w="120" w:type="dxa"/>
            </w:tcMar>
          </w:tcPr>
          <w:p>
            <w:pPr>
              <w:spacing w:after="40" w:line="252" w:lineRule="auto"/>
            </w:pPr>
            <w:r>
              <w:rPr>
                <w:sz w:val="18"/>
              </w:rPr>
              <w:t>draft → ready → frozen</w:t>
            </w:r>
          </w:p>
        </w:tc>
        <w:tc>
          <w:tcPr>
            <w:tcW w:type="dxa" w:w="4510"/>
            <w:vAlign w:val="center"/>
            <w:tcMar>
              <w:top w:w="90" w:type="dxa"/>
              <w:start w:w="120" w:type="dxa"/>
              <w:bottom w:w="90" w:type="dxa"/>
              <w:end w:w="120" w:type="dxa"/>
            </w:tcMar>
          </w:tcPr>
          <w:p>
            <w:pPr>
              <w:spacing w:after="40" w:line="252" w:lineRule="auto"/>
            </w:pPr>
            <w:r>
              <w:rPr>
                <w:sz w:val="18"/>
              </w:rPr>
              <w:t>autosaved; frozen snapshot is immutable after Begin.</w:t>
            </w:r>
          </w:p>
        </w:tc>
      </w:tr>
      <w:tr>
        <w:trPr>
          <w:cantSplit/>
        </w:trPr>
        <w:tc>
          <w:tcPr>
            <w:tcW w:type="dxa" w:w="1550"/>
            <w:vAlign w:val="center"/>
            <w:tcMar>
              <w:top w:w="90" w:type="dxa"/>
              <w:start w:w="120" w:type="dxa"/>
              <w:bottom w:w="90" w:type="dxa"/>
              <w:end w:w="120" w:type="dxa"/>
            </w:tcMar>
          </w:tcPr>
          <w:p>
            <w:pPr>
              <w:spacing w:after="40" w:line="252" w:lineRule="auto"/>
            </w:pPr>
            <w:r>
              <w:rPr>
                <w:sz w:val="18"/>
              </w:rPr>
              <w:t>Obsession</w:t>
            </w:r>
          </w:p>
        </w:tc>
        <w:tc>
          <w:tcPr>
            <w:tcW w:type="dxa" w:w="3300"/>
            <w:vAlign w:val="center"/>
            <w:tcMar>
              <w:top w:w="90" w:type="dxa"/>
              <w:start w:w="120" w:type="dxa"/>
              <w:bottom w:w="90" w:type="dxa"/>
              <w:end w:w="120" w:type="dxa"/>
            </w:tcMar>
          </w:tcPr>
          <w:p>
            <w:r>
              <w:t>active → closeout → finished</w:t>
            </w:r>
          </w:p>
        </w:tc>
        <w:tc>
          <w:tcPr>
            <w:tcW w:type="dxa" w:w="4510"/>
            <w:vAlign w:val="center"/>
            <w:tcMar>
              <w:top w:w="90" w:type="dxa"/>
              <w:start w:w="120" w:type="dxa"/>
              <w:bottom w:w="90" w:type="dxa"/>
              <w:end w:w="120" w:type="dxa"/>
            </w:tcMar>
          </w:tcPr>
          <w:p>
            <w:r>
              <w:t>active/closeout may span days; finished remains editable; each person/local date permits at most one actual Obsession.</w:t>
            </w:r>
          </w:p>
        </w:tc>
      </w:tr>
      <w:tr>
        <w:trPr>
          <w:cantSplit/>
        </w:trPr>
        <w:tc>
          <w:tcPr>
            <w:tcW w:type="dxa" w:w="1550"/>
            <w:vAlign w:val="center"/>
            <w:tcMar>
              <w:top w:w="90" w:type="dxa"/>
              <w:start w:w="120" w:type="dxa"/>
              <w:bottom w:w="90" w:type="dxa"/>
              <w:end w:w="120" w:type="dxa"/>
            </w:tcMar>
          </w:tcPr>
          <w:p>
            <w:pPr>
              <w:spacing w:after="40" w:line="252" w:lineRule="auto"/>
            </w:pPr>
            <w:r>
              <w:rPr>
                <w:sz w:val="18"/>
              </w:rPr>
              <w:t>Closeout</w:t>
            </w:r>
          </w:p>
        </w:tc>
        <w:tc>
          <w:tcPr>
            <w:tcW w:type="dxa" w:w="3300"/>
            <w:vAlign w:val="center"/>
            <w:tcMar>
              <w:top w:w="90" w:type="dxa"/>
              <w:start w:w="120" w:type="dxa"/>
              <w:bottom w:w="90" w:type="dxa"/>
              <w:end w:w="120" w:type="dxa"/>
            </w:tcMar>
          </w:tcPr>
          <w:p>
            <w:r>
              <w:t>reflecting → showing → preserving → finish-preview → completed</w:t>
            </w:r>
          </w:p>
        </w:tc>
        <w:tc>
          <w:tcPr>
            <w:tcW w:type="dxa" w:w="4510"/>
            <w:vAlign w:val="center"/>
            <w:tcMar>
              <w:top w:w="90" w:type="dxa"/>
              <w:start w:w="120" w:type="dxa"/>
              <w:bottom w:w="90" w:type="dxa"/>
              <w:end w:w="120" w:type="dxa"/>
            </w:tcMar>
          </w:tcPr>
          <w:p>
            <w:r>
              <w:t>steps autosave and remain resumable; backward navigation allowed; completion requires Cover.</w:t>
            </w:r>
          </w:p>
        </w:tc>
      </w:tr>
      <w:tr>
        <w:trPr>
          <w:cantSplit/>
        </w:trPr>
        <w:tc>
          <w:tcPr>
            <w:tcW w:type="dxa" w:w="1550"/>
            <w:vAlign w:val="center"/>
            <w:tcMar>
              <w:top w:w="90" w:type="dxa"/>
              <w:start w:w="120" w:type="dxa"/>
              <w:bottom w:w="90" w:type="dxa"/>
              <w:end w:w="120" w:type="dxa"/>
            </w:tcMar>
          </w:tcPr>
          <w:p>
            <w:pPr>
              <w:spacing w:after="40" w:line="252" w:lineRule="auto"/>
            </w:pPr>
            <w:r>
              <w:rPr>
                <w:sz w:val="18"/>
              </w:rPr>
              <w:t>Visibility</w:t>
            </w:r>
          </w:p>
        </w:tc>
        <w:tc>
          <w:tcPr>
            <w:tcW w:type="dxa" w:w="3300"/>
            <w:vAlign w:val="center"/>
            <w:tcMar>
              <w:top w:w="90" w:type="dxa"/>
              <w:start w:w="120" w:type="dxa"/>
              <w:bottom w:w="90" w:type="dxa"/>
              <w:end w:w="120" w:type="dxa"/>
            </w:tcMar>
          </w:tcPr>
          <w:p>
            <w:r>
              <w:t>private ↔ public</w:t>
            </w:r>
          </w:p>
        </w:tc>
        <w:tc>
          <w:tcPr>
            <w:tcW w:type="dxa" w:w="4510"/>
            <w:vAlign w:val="center"/>
            <w:tcMar>
              <w:top w:w="90" w:type="dxa"/>
              <w:start w:w="120" w:type="dxa"/>
              <w:bottom w:w="90" w:type="dxa"/>
              <w:end w:w="120" w:type="dxa"/>
            </w:tcMar>
          </w:tcPr>
          <w:p>
            <w:r>
              <w:t>whole Completed Obsession only; defaults private; Archive always private.</w:t>
            </w:r>
          </w:p>
        </w:tc>
      </w:tr>
      <w:tr>
        <w:trPr>
          <w:cantSplit/>
        </w:trPr>
        <w:tc>
          <w:tcPr>
            <w:tcW w:type="dxa" w:w="1550"/>
            <w:vAlign w:val="center"/>
            <w:tcMar>
              <w:top w:w="90" w:type="dxa"/>
              <w:start w:w="120" w:type="dxa"/>
              <w:bottom w:w="90" w:type="dxa"/>
              <w:end w:w="120" w:type="dxa"/>
            </w:tcMar>
          </w:tcPr>
          <w:p>
            <w:pPr>
              <w:spacing w:after="40" w:line="252" w:lineRule="auto"/>
            </w:pPr>
            <w:r>
              <w:rPr>
                <w:sz w:val="18"/>
              </w:rPr>
              <w:t>Attachment</w:t>
            </w:r>
          </w:p>
        </w:tc>
        <w:tc>
          <w:tcPr>
            <w:tcW w:type="dxa" w:w="3300"/>
            <w:vAlign w:val="center"/>
            <w:tcMar>
              <w:top w:w="90" w:type="dxa"/>
              <w:start w:w="120" w:type="dxa"/>
              <w:bottom w:w="90" w:type="dxa"/>
              <w:end w:w="120" w:type="dxa"/>
            </w:tcMar>
          </w:tcPr>
          <w:p>
            <w:pPr>
              <w:spacing w:after="40" w:line="252" w:lineRule="auto"/>
            </w:pPr>
            <w:r>
              <w:rPr>
                <w:sz w:val="18"/>
              </w:rPr>
              <w:t>uploading → available | failed → removed</w:t>
            </w:r>
          </w:p>
        </w:tc>
        <w:tc>
          <w:tcPr>
            <w:tcW w:type="dxa" w:w="4510"/>
            <w:vAlign w:val="center"/>
            <w:tcMar>
              <w:top w:w="90" w:type="dxa"/>
              <w:start w:w="120" w:type="dxa"/>
              <w:bottom w:w="90" w:type="dxa"/>
              <w:end w:w="120" w:type="dxa"/>
            </w:tcMar>
          </w:tcPr>
          <w:p>
            <w:pPr>
              <w:spacing w:after="40" w:line="252" w:lineRule="auto"/>
            </w:pPr>
            <w:r>
              <w:rPr>
                <w:sz w:val="18"/>
              </w:rPr>
              <w:t>failed upload never discards parent text; private ACL by default.</w:t>
            </w:r>
          </w:p>
        </w:tc>
      </w:tr>
    </w:tbl>
    <w:p>
      <w:pPr>
        <w:spacing w:after="0"/>
      </w:pPr>
    </w:p>
    <w:p>
      <w:pPr>
        <w:pStyle w:val="Heading2"/>
      </w:pPr>
      <w:r>
        <w:t>16.2 Transition invariants</w:t>
      </w:r>
    </w:p>
    <w:p>
      <w:pPr>
        <w:pStyle w:val="ListBullet"/>
      </w:pPr>
      <w:r>
        <w:t>A single Obsession owns exactly one immutable frozen Brief snapshot, and a person may have at most one actual Obsession for a given local calendar date.</w:t>
      </w:r>
    </w:p>
    <w:p>
      <w:pPr>
        <w:pStyle w:val="ListBullet"/>
      </w:pPr>
      <w:r>
        <w:t xml:space="preserve"> An Obsession Day is assigned once at Begin and cannot be edited.</w:t>
      </w:r>
    </w:p>
    <w:p>
      <w:pPr>
        <w:pStyle w:val="ListBullet"/>
      </w:pPr>
      <w:r>
        <w:t>Finish requires Title, Question, Reflect.Outcome, a Cover image, a full preview, and an explicit whole-exhibit visibility choice. Private is the default; Results, Discoveries, Story, Open Threads, and Preserve material remain optional.</w:t>
      </w:r>
    </w:p>
    <w:p>
      <w:pPr>
        <w:pStyle w:val="ListBullet"/>
      </w:pPr>
      <w:r>
        <w:t xml:space="preserve"> Public projection is generated from allow-listed exhibit fields and public assets—not by hiding private fields in the client.</w:t>
      </w:r>
    </w:p>
    <w:p>
      <w:pPr>
        <w:pStyle w:val="ListBullet"/>
      </w:pPr>
      <w:r>
        <w:t>Each Obsession’s Archive remains private regardless of the Completed Obsession’s visibility.</w:t>
      </w:r>
    </w:p>
    <w:p>
      <w:pPr>
        <w:pStyle w:val="ListBullet"/>
      </w:pPr>
      <w:r>
        <w:t>Relationship writes require an explicit human action and preserve both endpoint IDs and creation metadata. Valid writes arise only from deliberate use of Related to… / the relationship picker or deliberate Save as Possibility on an Open Thread; the latter action explicitly declares and records lineage to the source Obsession as part of creating the unscheduled Possibility.</w:t>
      </w:r>
    </w:p>
    <w:p>
      <w:pPr>
        <w:pStyle w:val="Heading1"/>
      </w:pPr>
      <w:r>
        <w:t>17. Edge cases and recovery</w:t>
      </w:r>
    </w:p>
    <w:tbl>
      <w:tblPr>
        <w:tblStyle w:val="TableGrid"/>
        <w:tblW w:type="auto" w:w="0"/>
        <w:jc w:val="left"/>
        <w:tblLayout w:type="fixed"/>
        <w:tblLook w:firstColumn="1" w:firstRow="1" w:lastColumn="0" w:lastRow="0" w:noHBand="0" w:noVBand="1" w:val="04A0"/>
      </w:tblPr>
      <w:tblGrid>
        <w:gridCol w:w="4824"/>
        <w:gridCol w:w="4824"/>
      </w:tblGrid>
      <w:tr>
        <w:trPr>
          <w:tblHeader w:val="true"/>
          <w:cantSplit/>
          <w:cantSplit/>
        </w:trPr>
        <w:tc>
          <w:tcPr>
            <w:tcW w:type="dxa" w:w="2800"/>
            <w:shd w:fill="E8EEF8"/>
            <w:vAlign w:val="center"/>
            <w:tcMar>
              <w:top w:w="90" w:type="dxa"/>
              <w:start w:w="120" w:type="dxa"/>
              <w:bottom w:w="90" w:type="dxa"/>
              <w:end w:w="120" w:type="dxa"/>
            </w:tcMar>
          </w:tcPr>
          <w:p>
            <w:r>
              <w:rPr>
                <w:b/>
                <w:color w:val="304B9B"/>
                <w:sz w:val="19"/>
              </w:rPr>
              <w:t>Scenario</w:t>
            </w:r>
          </w:p>
        </w:tc>
        <w:tc>
          <w:tcPr>
            <w:tcW w:type="dxa" w:w="6560"/>
            <w:shd w:fill="E8EEF8"/>
            <w:vAlign w:val="center"/>
            <w:tcMar>
              <w:top w:w="90" w:type="dxa"/>
              <w:start w:w="120" w:type="dxa"/>
              <w:bottom w:w="90" w:type="dxa"/>
              <w:end w:w="120" w:type="dxa"/>
            </w:tcMar>
          </w:tcPr>
          <w:p>
            <w:r>
              <w:rPr>
                <w:b/>
                <w:color w:val="304B9B"/>
                <w:sz w:val="19"/>
              </w:rPr>
              <w:t>Required behavior</w:t>
            </w:r>
          </w:p>
        </w:tc>
      </w:tr>
      <w:tr>
        <w:trPr>
          <w:cantSplit/>
        </w:trPr>
        <w:tc>
          <w:tcPr>
            <w:tcW w:type="dxa" w:w="2800"/>
            <w:vAlign w:val="center"/>
            <w:tcMar>
              <w:top w:w="90" w:type="dxa"/>
              <w:start w:w="120" w:type="dxa"/>
              <w:bottom w:w="90" w:type="dxa"/>
              <w:end w:w="120" w:type="dxa"/>
            </w:tcMar>
          </w:tcPr>
          <w:p>
            <w:pPr>
              <w:spacing w:after="40" w:line="252" w:lineRule="auto"/>
            </w:pPr>
            <w:r>
              <w:rPr>
                <w:sz w:val="18"/>
              </w:rPr>
              <w:t>Two browser tabs edit the same Brief</w:t>
            </w:r>
          </w:p>
        </w:tc>
        <w:tc>
          <w:tcPr>
            <w:tcW w:type="dxa" w:w="6560"/>
            <w:vAlign w:val="center"/>
            <w:tcMar>
              <w:top w:w="90" w:type="dxa"/>
              <w:start w:w="120" w:type="dxa"/>
              <w:bottom w:w="90" w:type="dxa"/>
              <w:end w:w="120" w:type="dxa"/>
            </w:tcMar>
          </w:tcPr>
          <w:p>
            <w:pPr>
              <w:spacing w:after="40" w:line="252" w:lineRule="auto"/>
            </w:pPr>
            <w:r>
              <w:rPr>
                <w:sz w:val="18"/>
              </w:rPr>
              <w:t>Detect version conflict; preserve both text states, show a calm merge/reload choice, and never silently overwrite newer content.</w:t>
            </w:r>
          </w:p>
        </w:tc>
      </w:tr>
      <w:tr>
        <w:trPr>
          <w:cantSplit/>
        </w:trPr>
        <w:tc>
          <w:tcPr>
            <w:tcW w:type="dxa" w:w="2800"/>
            <w:vAlign w:val="center"/>
            <w:tcMar>
              <w:top w:w="90" w:type="dxa"/>
              <w:start w:w="120" w:type="dxa"/>
              <w:bottom w:w="90" w:type="dxa"/>
              <w:end w:w="120" w:type="dxa"/>
            </w:tcMar>
          </w:tcPr>
          <w:p>
            <w:pPr>
              <w:spacing w:after="40" w:line="252" w:lineRule="auto"/>
            </w:pPr>
            <w:r>
              <w:rPr>
                <w:sz w:val="18"/>
              </w:rPr>
              <w:t>Begin clicked twice</w:t>
            </w:r>
          </w:p>
        </w:tc>
        <w:tc>
          <w:tcPr>
            <w:tcW w:type="dxa" w:w="6560"/>
            <w:vAlign w:val="center"/>
            <w:tcMar>
              <w:top w:w="90" w:type="dxa"/>
              <w:start w:w="120" w:type="dxa"/>
              <w:bottom w:w="90" w:type="dxa"/>
              <w:end w:w="120" w:type="dxa"/>
            </w:tcMar>
          </w:tcPr>
          <w:p>
            <w:pPr>
              <w:spacing w:after="40" w:line="252" w:lineRule="auto"/>
            </w:pPr>
            <w:r>
              <w:rPr>
                <w:sz w:val="18"/>
              </w:rPr>
              <w:t>Idempotent transaction: one Obsession, one frozen Brief snapshot, one historical date.</w:t>
            </w:r>
          </w:p>
        </w:tc>
      </w:tr>
      <w:tr>
        <w:trPr>
          <w:cantSplit/>
        </w:trPr>
        <w:tc>
          <w:tcPr>
            <w:tcW w:type="dxa" w:w="2800"/>
            <w:vAlign w:val="center"/>
            <w:tcMar>
              <w:top w:w="90" w:type="dxa"/>
              <w:start w:w="120" w:type="dxa"/>
              <w:bottom w:w="90" w:type="dxa"/>
              <w:end w:w="120" w:type="dxa"/>
            </w:tcMar>
          </w:tcPr>
          <w:p>
            <w:pPr>
              <w:spacing w:after="40" w:line="252" w:lineRule="auto"/>
            </w:pPr>
            <w:r>
              <w:rPr>
                <w:sz w:val="18"/>
              </w:rPr>
              <w:t>Local midnight during Begin</w:t>
            </w:r>
          </w:p>
        </w:tc>
        <w:tc>
          <w:tcPr>
            <w:tcW w:type="dxa" w:w="6560"/>
            <w:vAlign w:val="center"/>
            <w:tcMar>
              <w:top w:w="90" w:type="dxa"/>
              <w:start w:w="120" w:type="dxa"/>
              <w:bottom w:w="90" w:type="dxa"/>
              <w:end w:w="120" w:type="dxa"/>
            </w:tcMar>
          </w:tcPr>
          <w:p>
            <w:pPr>
              <w:spacing w:after="40" w:line="252" w:lineRule="auto"/>
            </w:pPr>
            <w:r>
              <w:t>Use one atomic server instant plus the confirmed account/profile IANA time zone to resolve the current local date. A browser-reported zone is only a mismatch or reconfirmation signal and never silently overrides the confirmed zone. Once Begin succeeds, permanently store obsession_day; history always uses that stored date.</w:t>
            </w:r>
          </w:p>
        </w:tc>
      </w:tr>
      <w:tr>
        <w:trPr>
          <w:cantSplit/>
        </w:trPr>
        <w:tc>
          <w:tcPr>
            <w:tcW w:type="dxa" w:w="2800"/>
            <w:vAlign w:val="center"/>
            <w:tcMar>
              <w:top w:w="90" w:type="dxa"/>
              <w:start w:w="120" w:type="dxa"/>
              <w:bottom w:w="90" w:type="dxa"/>
              <w:end w:w="120" w:type="dxa"/>
            </w:tcMar>
          </w:tcPr>
          <w:p>
            <w:pPr>
              <w:spacing w:after="40" w:line="252" w:lineRule="auto"/>
            </w:pPr>
            <w:r>
              <w:rPr>
                <w:sz w:val="18"/>
              </w:rPr>
              <w:t>Travel after completion</w:t>
            </w:r>
          </w:p>
        </w:tc>
        <w:tc>
          <w:tcPr>
            <w:tcW w:type="dxa" w:w="6560"/>
            <w:vAlign w:val="center"/>
            <w:tcMar>
              <w:top w:w="90" w:type="dxa"/>
              <w:start w:w="120" w:type="dxa"/>
              <w:bottom w:w="90" w:type="dxa"/>
              <w:end w:w="120" w:type="dxa"/>
            </w:tcMar>
          </w:tcPr>
          <w:p>
            <w:pPr>
              <w:spacing w:after="40" w:line="252" w:lineRule="auto"/>
            </w:pPr>
            <w:r>
              <w:rPr>
                <w:sz w:val="18"/>
              </w:rPr>
              <w:t>Display the stored Obsession Day unchanged. Do not recompute from UTC.</w:t>
            </w:r>
          </w:p>
        </w:tc>
      </w:tr>
      <w:tr>
        <w:trPr>
          <w:cantSplit/>
        </w:trPr>
        <w:tc>
          <w:tcPr>
            <w:tcW w:type="dxa" w:w="2800"/>
            <w:vAlign w:val="center"/>
            <w:tcMar>
              <w:top w:w="90" w:type="dxa"/>
              <w:start w:w="120" w:type="dxa"/>
              <w:bottom w:w="90" w:type="dxa"/>
              <w:end w:w="120" w:type="dxa"/>
            </w:tcMar>
          </w:tcPr>
          <w:p>
            <w:pPr>
              <w:spacing w:after="40" w:line="252" w:lineRule="auto"/>
            </w:pPr>
            <w:r>
              <w:rPr>
                <w:sz w:val="18"/>
              </w:rPr>
              <w:t>Missed scheduled date</w:t>
            </w:r>
          </w:p>
        </w:tc>
        <w:tc>
          <w:tcPr>
            <w:tcW w:type="dxa" w:w="6560"/>
            <w:vAlign w:val="center"/>
            <w:tcMar>
              <w:top w:w="90" w:type="dxa"/>
              <w:start w:w="120" w:type="dxa"/>
              <w:bottom w:w="90" w:type="dxa"/>
              <w:end w:w="120" w:type="dxa"/>
            </w:tcMar>
          </w:tcPr>
          <w:p>
            <w:pPr>
              <w:spacing w:after="40" w:line="252" w:lineRule="auto"/>
            </w:pPr>
            <w:r>
              <w:rPr>
                <w:sz w:val="18"/>
              </w:rPr>
              <w:t>Remain Not begun; never roll forward automatically; offer explicit reschedule or return to Possibilities. Never mark overdue.</w:t>
            </w:r>
          </w:p>
        </w:tc>
      </w:tr>
      <w:tr>
        <w:trPr>
          <w:cantSplit/>
        </w:trPr>
        <w:tc>
          <w:tcPr>
            <w:tcW w:type="dxa" w:w="2800"/>
            <w:vAlign w:val="center"/>
            <w:tcMar>
              <w:top w:w="90" w:type="dxa"/>
              <w:start w:w="120" w:type="dxa"/>
              <w:bottom w:w="90" w:type="dxa"/>
              <w:end w:w="120" w:type="dxa"/>
            </w:tcMar>
          </w:tcPr>
          <w:p>
            <w:pPr>
              <w:spacing w:after="40" w:line="252" w:lineRule="auto"/>
            </w:pPr>
            <w:r>
              <w:rPr>
                <w:sz w:val="18"/>
              </w:rPr>
              <w:t>Prior closeout unfinished</w:t>
            </w:r>
          </w:p>
        </w:tc>
        <w:tc>
          <w:tcPr>
            <w:tcW w:type="dxa" w:w="6560"/>
            <w:vAlign w:val="center"/>
            <w:tcMar>
              <w:top w:w="90" w:type="dxa"/>
              <w:start w:w="120" w:type="dxa"/>
              <w:bottom w:w="90" w:type="dxa"/>
              <w:end w:w="120" w:type="dxa"/>
            </w:tcMar>
          </w:tcPr>
          <w:p>
            <w:pPr>
              <w:spacing w:after="40" w:line="252" w:lineRule="auto"/>
            </w:pPr>
            <w:r>
              <w:rPr>
                <w:sz w:val="18"/>
              </w:rPr>
              <w:t>Show quiet Resume action; allow Begin for a new date if normal spacing validation passes.</w:t>
            </w:r>
          </w:p>
        </w:tc>
      </w:tr>
      <w:tr>
        <w:trPr>
          <w:cantSplit/>
        </w:trPr>
        <w:tc>
          <w:tcPr>
            <w:tcW w:type="dxa" w:w="2800"/>
            <w:vAlign w:val="center"/>
            <w:tcMar>
              <w:top w:w="90" w:type="dxa"/>
              <w:start w:w="120" w:type="dxa"/>
              <w:bottom w:w="90" w:type="dxa"/>
              <w:end w:w="120" w:type="dxa"/>
            </w:tcMar>
          </w:tcPr>
          <w:p>
            <w:pPr>
              <w:spacing w:after="40" w:line="252" w:lineRule="auto"/>
            </w:pPr>
            <w:r>
              <w:rPr>
                <w:sz w:val="18"/>
              </w:rPr>
              <w:t>Attachment processing fails</w:t>
            </w:r>
          </w:p>
        </w:tc>
        <w:tc>
          <w:tcPr>
            <w:tcW w:type="dxa" w:w="6560"/>
            <w:vAlign w:val="center"/>
            <w:tcMar>
              <w:top w:w="90" w:type="dxa"/>
              <w:start w:w="120" w:type="dxa"/>
              <w:bottom w:w="90" w:type="dxa"/>
              <w:end w:w="120" w:type="dxa"/>
            </w:tcMar>
          </w:tcPr>
          <w:p>
            <w:pPr>
              <w:spacing w:after="40" w:line="252" w:lineRule="auto"/>
            </w:pPr>
            <w:r>
              <w:rPr>
                <w:sz w:val="18"/>
              </w:rPr>
              <w:t>Keep the record and draft; show failed item with retry/remove; do not block unrelated autosave.</w:t>
            </w:r>
          </w:p>
        </w:tc>
      </w:tr>
      <w:tr>
        <w:trPr>
          <w:cantSplit/>
        </w:trPr>
        <w:tc>
          <w:tcPr>
            <w:tcW w:type="dxa" w:w="2800"/>
            <w:vAlign w:val="center"/>
            <w:tcMar>
              <w:top w:w="90" w:type="dxa"/>
              <w:start w:w="120" w:type="dxa"/>
              <w:bottom w:w="90" w:type="dxa"/>
              <w:end w:w="120" w:type="dxa"/>
            </w:tcMar>
          </w:tcPr>
          <w:p>
            <w:r>
              <w:t>Public asset becomes unavailable</w:t>
            </w:r>
          </w:p>
        </w:tc>
        <w:tc>
          <w:tcPr>
            <w:tcW w:type="dxa" w:w="6560"/>
            <w:vAlign w:val="center"/>
            <w:tcMar>
              <w:top w:w="90" w:type="dxa"/>
              <w:start w:w="120" w:type="dxa"/>
              <w:bottom w:w="90" w:type="dxa"/>
              <w:end w:w="120" w:type="dxa"/>
            </w:tcMar>
          </w:tcPr>
          <w:p>
            <w:r>
              <w:t>Show a recoverable Cover error to the owner. If the Cover was valid at completion but later becomes unavailable, use a typographic fallback only for display resilience while the owner repairs or replaces it; never treat the fallback or a private Archive asset URL as a valid Cover.</w:t>
            </w:r>
          </w:p>
        </w:tc>
      </w:tr>
      <w:tr>
        <w:trPr>
          <w:cantSplit/>
        </w:trPr>
        <w:tc>
          <w:tcPr>
            <w:tcW w:type="dxa" w:w="2800"/>
            <w:vAlign w:val="center"/>
            <w:tcMar>
              <w:top w:w="90" w:type="dxa"/>
              <w:start w:w="120" w:type="dxa"/>
              <w:bottom w:w="90" w:type="dxa"/>
              <w:end w:w="120" w:type="dxa"/>
            </w:tcMar>
          </w:tcPr>
          <w:p>
            <w:r>
              <w:t>Unpublish</w:t>
            </w:r>
          </w:p>
        </w:tc>
        <w:tc>
          <w:tcPr>
            <w:tcW w:type="dxa" w:w="6560"/>
            <w:vAlign w:val="center"/>
            <w:tcMar>
              <w:top w:w="90" w:type="dxa"/>
              <w:start w:w="120" w:type="dxa"/>
              <w:bottom w:w="90" w:type="dxa"/>
              <w:end w:w="120" w:type="dxa"/>
            </w:tcMar>
          </w:tcPr>
          <w:p>
            <w:r>
              <w:t>Revoke the whole public exhibit route and cached public asset access promptly; retain the exhibit and Archive privately.</w:t>
            </w:r>
          </w:p>
        </w:tc>
      </w:tr>
      <w:tr>
        <w:trPr>
          <w:cantSplit/>
        </w:trPr>
        <w:tc>
          <w:tcPr>
            <w:tcW w:type="dxa" w:w="2800"/>
            <w:vAlign w:val="center"/>
            <w:tcMar>
              <w:top w:w="90" w:type="dxa"/>
              <w:start w:w="120" w:type="dxa"/>
              <w:bottom w:w="90" w:type="dxa"/>
              <w:end w:w="120" w:type="dxa"/>
            </w:tcMar>
          </w:tcPr>
          <w:p>
            <w:pPr>
              <w:spacing w:after="40" w:line="252" w:lineRule="auto"/>
            </w:pPr>
            <w:r>
              <w:rPr>
                <w:sz w:val="18"/>
              </w:rPr>
              <w:t>Relationship endpoint permanently deleted</w:t>
            </w:r>
          </w:p>
        </w:tc>
        <w:tc>
          <w:tcPr>
            <w:tcW w:type="dxa" w:w="6560"/>
            <w:vAlign w:val="center"/>
            <w:tcMar>
              <w:top w:w="90" w:type="dxa"/>
              <w:start w:w="120" w:type="dxa"/>
              <w:bottom w:w="90" w:type="dxa"/>
              <w:end w:w="120" w:type="dxa"/>
            </w:tcMar>
          </w:tcPr>
          <w:p>
            <w:pPr>
              <w:spacing w:after="40" w:line="252" w:lineRule="auto"/>
            </w:pPr>
            <w:r>
              <w:rPr>
                <w:sz w:val="18"/>
              </w:rPr>
              <w:t>Retain a deleted/tombstoned endpoint reference sufficient to preserve the known human declaration; do not invent a replacement relationship. Relationship validity never depends on Archive state or content.</w:t>
            </w:r>
          </w:p>
        </w:tc>
      </w:tr>
      <w:tr>
        <w:trPr>
          <w:cantSplit/>
        </w:trPr>
        <w:tc>
          <w:tcPr>
            <w:tcW w:type="dxa" w:w="2800"/>
            <w:vAlign w:val="center"/>
            <w:tcMar>
              <w:top w:w="90" w:type="dxa"/>
              <w:start w:w="120" w:type="dxa"/>
              <w:bottom w:w="90" w:type="dxa"/>
              <w:end w:w="120" w:type="dxa"/>
            </w:tcMar>
          </w:tcPr>
          <w:p>
            <w:r>
              <w:t>No Cover image</w:t>
            </w:r>
          </w:p>
        </w:tc>
        <w:tc>
          <w:tcPr>
            <w:tcW w:type="dxa" w:w="6560"/>
            <w:vAlign w:val="center"/>
            <w:tcMar>
              <w:top w:w="90" w:type="dxa"/>
              <w:start w:w="120" w:type="dxa"/>
              <w:bottom w:w="90" w:type="dxa"/>
              <w:end w:w="120" w:type="dxa"/>
            </w:tcMar>
          </w:tcPr>
          <w:p>
            <w:r>
              <w:t>Block Finish and return the user to Show with a calm explanation. No typographic fallback or automatic generation satisfies completion.</w:t>
            </w:r>
          </w:p>
        </w:tc>
      </w:tr>
      <w:tr>
        <w:trPr>
          <w:cantSplit/>
        </w:trPr>
        <w:tc>
          <w:tcPr>
            <w:tcW w:type="dxa" w:w="2800"/>
            <w:vAlign w:val="center"/>
            <w:tcMar>
              <w:top w:w="90" w:type="dxa"/>
              <w:start w:w="120" w:type="dxa"/>
              <w:bottom w:w="90" w:type="dxa"/>
              <w:end w:w="120" w:type="dxa"/>
            </w:tcMar>
          </w:tcPr>
          <w:p>
            <w:pPr>
              <w:spacing w:after="40" w:line="252" w:lineRule="auto"/>
            </w:pPr>
            <w:r>
              <w:rPr>
                <w:sz w:val="18"/>
              </w:rPr>
              <w:t>Offline / network loss</w:t>
            </w:r>
          </w:p>
        </w:tc>
        <w:tc>
          <w:tcPr>
            <w:tcW w:type="dxa" w:w="6560"/>
            <w:vAlign w:val="center"/>
            <w:tcMar>
              <w:top w:w="90" w:type="dxa"/>
              <w:start w:w="120" w:type="dxa"/>
              <w:bottom w:w="90" w:type="dxa"/>
              <w:end w:w="120" w:type="dxa"/>
            </w:tcMar>
          </w:tcPr>
          <w:p>
            <w:pPr>
              <w:spacing w:after="40" w:line="252" w:lineRule="auto"/>
            </w:pPr>
            <w:r>
              <w:rPr>
                <w:sz w:val="18"/>
              </w:rPr>
              <w:t>Retain current draft locally where safe, display honest state, retry idempotently, and prevent Begin/Finish until required server persistence succeeds.</w:t>
            </w:r>
          </w:p>
        </w:tc>
      </w:tr>
      <w:tr>
        <w:trPr>
          <w:cantSplit/>
        </w:trPr>
        <w:tc>
          <w:tcPr>
            <w:tcW w:type="dxa" w:w="2800"/>
            <w:vAlign w:val="center"/>
            <w:tcMar>
              <w:top w:w="90" w:type="dxa"/>
              <w:start w:w="120" w:type="dxa"/>
              <w:bottom w:w="90" w:type="dxa"/>
              <w:end w:w="120" w:type="dxa"/>
            </w:tcMar>
          </w:tcPr>
          <w:p>
            <w:pPr>
              <w:spacing w:after="40" w:line="252" w:lineRule="auto"/>
            </w:pPr>
            <w:r>
              <w:rPr>
                <w:sz w:val="18"/>
              </w:rPr>
              <w:t>Target date already has a scheduled Possibility</w:t>
            </w:r>
          </w:p>
        </w:tc>
        <w:tc>
          <w:tcPr>
            <w:tcW w:type="dxa" w:w="6560"/>
            <w:vAlign w:val="center"/>
            <w:tcMar>
              <w:top w:w="90" w:type="dxa"/>
              <w:start w:w="120" w:type="dxa"/>
              <w:bottom w:w="90" w:type="dxa"/>
              <w:end w:w="120" w:type="dxa"/>
            </w:tcMar>
          </w:tcPr>
          <w:p>
            <w:pPr>
              <w:spacing w:after="40" w:line="252" w:lineRule="auto"/>
            </w:pPr>
            <w:r>
              <w:rPr>
                <w:sz w:val="18"/>
              </w:rPr>
              <w:t>Do not create a second scheduled item. Require an explicit choice to replace the day’s current Possibility, move either Possibility to another eligible day, or return one to Possibilities. Preserve both records and Brief drafts.</w:t>
            </w:r>
          </w:p>
        </w:tc>
      </w:tr>
      <w:tr>
        <w:tc>
          <w:tcPr>
            <w:tcW w:type="dxa" w:w="4824"/>
          </w:tcPr>
          <w:p>
            <w:r>
              <w:t>Target date already has an actual Obsession</w:t>
            </w:r>
          </w:p>
        </w:tc>
        <w:tc>
          <w:tcPr>
            <w:tcW w:type="dxa" w:w="4824"/>
          </w:tcPr>
          <w:p>
            <w:r>
              <w:t>Treat a date containing an Active, Closeout, or Finished Obsession as locked. Do not schedule or replace a Possibility on it. Older unfinished Obsessions from other historical dates remain allowed and resumable.</w:t>
            </w:r>
          </w:p>
        </w:tc>
      </w:tr>
      <w:tr>
        <w:tc>
          <w:tcPr>
            <w:tcW w:type="dxa" w:w="4824"/>
          </w:tcPr>
          <w:p>
            <w:r>
              <w:t>No confirmed time zone during first date-sensitive action</w:t>
            </w:r>
          </w:p>
        </w:tc>
        <w:tc>
          <w:tcPr>
            <w:tcW w:type="dxa" w:w="4824"/>
          </w:tcPr>
          <w:p>
            <w:r>
              <w:t>Allow the person to create and keep Possibilities. On first Give it a day, Schedule, or Begin attempt, require lightweight confirmation of the account/profile IANA time zone before resolving a local date. Browser detection may suggest a zone but cannot silently confirm or override it.</w:t>
            </w:r>
          </w:p>
        </w:tc>
      </w:tr>
      <w:tr>
        <w:tc>
          <w:tcPr>
            <w:tcW w:type="dxa" w:w="4824"/>
          </w:tcPr>
          <w:p>
            <w:r>
              <w:t>Save as Possibility chosen on an Open Thread</w:t>
            </w:r>
          </w:p>
        </w:tc>
        <w:tc>
          <w:tcPr>
            <w:tcW w:type="dxa" w:w="4824"/>
          </w:tcPr>
          <w:p>
            <w:r>
              <w:t>Treat the deliberate action as the person’s explicit declaration of lineage: idempotently create one unscheduled Possibility and record its relationship to the source Obsession as part of the same action. Apply the normal no-consecutive-related-Obsessions rule; do not infer or recommend any other relationship.</w:t>
            </w:r>
          </w:p>
        </w:tc>
      </w:tr>
      <w:tr>
        <w:tc>
          <w:tcPr>
            <w:tcW w:type="dxa" w:w="4824"/>
          </w:tcPr>
          <w:p>
            <w:r>
              <w:t>Person chooses Let it go</w:t>
            </w:r>
          </w:p>
        </w:tc>
        <w:tc>
          <w:tcPr>
            <w:tcW w:type="dxa" w:w="4824"/>
          </w:tcPr>
          <w:p>
            <w:r>
              <w:t>Apply Let it go to remove the Possibility from the active Possibilities collection with calm, nonjudgmental language. Do not describe it as failed, overdue, cancelled, or permanently deleted; permanent deletion remains a separate Settings/data-control flow.</w:t>
            </w:r>
          </w:p>
        </w:tc>
      </w:tr>
    </w:tbl>
    <w:p>
      <w:pPr>
        <w:spacing w:after="0"/>
      </w:pPr>
    </w:p>
    <w:p>
      <w:pPr>
        <w:pStyle w:val="Heading1"/>
      </w:pPr>
      <w:r>
        <w:t>18. Required and optional data model</w:t>
      </w:r>
    </w:p>
    <w:p>
      <w:pPr>
        <w:pStyle w:val="Heading2"/>
      </w:pPr>
      <w:r>
        <w:t>18.1 Minimum entities</w:t>
      </w:r>
    </w:p>
    <w:tbl>
      <w:tblPr>
        <w:tblStyle w:val="TableGrid"/>
        <w:tblW w:type="auto" w:w="0"/>
        <w:jc w:val="left"/>
        <w:tblLayout w:type="fixed"/>
        <w:tblLook w:firstColumn="1" w:firstRow="1" w:lastColumn="0" w:lastRow="0" w:noHBand="0" w:noVBand="1" w:val="04A0"/>
      </w:tblPr>
      <w:tblGrid>
        <w:gridCol w:w="3216"/>
        <w:gridCol w:w="3216"/>
        <w:gridCol w:w="3216"/>
      </w:tblGrid>
      <w:tr>
        <w:trPr>
          <w:tblHeader w:val="true"/>
          <w:cantSplit/>
          <w:cantSplit/>
        </w:trPr>
        <w:tc>
          <w:tcPr>
            <w:tcW w:type="dxa" w:w="1850"/>
            <w:shd w:fill="E8EEF8"/>
            <w:vAlign w:val="center"/>
            <w:tcMar>
              <w:top w:w="90" w:type="dxa"/>
              <w:start w:w="120" w:type="dxa"/>
              <w:bottom w:w="90" w:type="dxa"/>
              <w:end w:w="120" w:type="dxa"/>
            </w:tcMar>
          </w:tcPr>
          <w:p>
            <w:r>
              <w:rPr>
                <w:b/>
                <w:color w:val="304B9B"/>
                <w:sz w:val="19"/>
              </w:rPr>
              <w:t>Entity</w:t>
            </w:r>
          </w:p>
        </w:tc>
        <w:tc>
          <w:tcPr>
            <w:tcW w:type="dxa" w:w="4600"/>
            <w:shd w:fill="E8EEF8"/>
            <w:vAlign w:val="center"/>
            <w:tcMar>
              <w:top w:w="90" w:type="dxa"/>
              <w:start w:w="120" w:type="dxa"/>
              <w:bottom w:w="90" w:type="dxa"/>
              <w:end w:w="120" w:type="dxa"/>
            </w:tcMar>
          </w:tcPr>
          <w:p>
            <w:r>
              <w:rPr>
                <w:b/>
                <w:color w:val="304B9B"/>
                <w:sz w:val="19"/>
              </w:rPr>
              <w:t>Required fields</w:t>
            </w:r>
          </w:p>
        </w:tc>
        <w:tc>
          <w:tcPr>
            <w:tcW w:type="dxa" w:w="2910"/>
            <w:shd w:fill="E8EEF8"/>
            <w:vAlign w:val="center"/>
            <w:tcMar>
              <w:top w:w="90" w:type="dxa"/>
              <w:start w:w="120" w:type="dxa"/>
              <w:bottom w:w="90" w:type="dxa"/>
              <w:end w:w="120" w:type="dxa"/>
            </w:tcMar>
          </w:tcPr>
          <w:p>
            <w:r>
              <w:rPr>
                <w:b/>
                <w:color w:val="304B9B"/>
                <w:sz w:val="19"/>
              </w:rPr>
              <w:t>Optional / derived fields</w:t>
            </w:r>
          </w:p>
        </w:tc>
      </w:tr>
      <w:tr>
        <w:tc>
          <w:tcPr>
            <w:tcW w:type="dxa" w:w="3216"/>
          </w:tcPr>
          <w:p>
            <w:r>
              <w:t>UserProfile</w:t>
            </w:r>
          </w:p>
        </w:tc>
        <w:tc>
          <w:tcPr>
            <w:tcW w:type="dxa" w:w="3216"/>
          </w:tcPr>
          <w:p>
            <w:r>
              <w:t>id, onboarding_state, created_at</w:t>
            </w:r>
          </w:p>
        </w:tc>
        <w:tc>
          <w:tcPr>
            <w:tcW w:type="dxa" w:w="3216"/>
          </w:tcPr>
          <w:p>
            <w:r>
              <w:t>confirmed IANA time_zone (required before first date-sensitive Give it a day / Schedule / Begin action); display_name and public_handle (required only to publish); avatar, public_bio, external_link</w:t>
            </w:r>
          </w:p>
        </w:tc>
      </w:tr>
      <w:tr>
        <w:tc>
          <w:tcPr>
            <w:tcW w:type="dxa" w:w="3216"/>
          </w:tcPr>
          <w:p>
            <w:r>
              <w:t>Possibility</w:t>
            </w:r>
          </w:p>
        </w:tc>
        <w:tc>
          <w:tcPr>
            <w:tcW w:type="dxa" w:w="3216"/>
          </w:tcPr>
          <w:p>
            <w:r>
              <w:t>id, user_id, question, state, created_at, updated_at</w:t>
            </w:r>
          </w:p>
        </w:tc>
        <w:tc>
          <w:tcPr>
            <w:tcW w:type="dxa" w:w="3216"/>
          </w:tcPr>
          <w:p>
            <w:r>
              <w:t>notes_context, scheduled_date (unique per user/local date while scheduled), removed_at</w:t>
            </w:r>
          </w:p>
        </w:tc>
      </w:tr>
      <w:tr>
        <w:tc>
          <w:tcPr>
            <w:tcW w:type="dxa" w:w="3216"/>
          </w:tcPr>
          <w:p>
            <w:r>
              <w:t>Relationship</w:t>
            </w:r>
          </w:p>
        </w:tc>
        <w:tc>
          <w:tcPr>
            <w:tcW w:type="dxa" w:w="3216"/>
          </w:tcPr>
          <w:p>
            <w:r>
              <w:t>id, user_id, source_type/id, target_type/id, declared_at, declaration_action</w:t>
            </w:r>
          </w:p>
        </w:tc>
        <w:tc>
          <w:tcPr>
            <w:tcW w:type="dxa" w:w="3216"/>
          </w:tcPr>
          <w:p>
            <w:r>
              <w:t>private note; public-display permission where both endpoints are public. declaration_action records explicit picker use or explicit Open Thread Save as Possibility.</w:t>
            </w:r>
          </w:p>
        </w:tc>
      </w:tr>
      <w:tr>
        <w:tc>
          <w:tcPr>
            <w:tcW w:type="dxa" w:w="3216"/>
          </w:tcPr>
          <w:p>
            <w:r>
              <w:t>Attachment</w:t>
            </w:r>
          </w:p>
        </w:tc>
        <w:tc>
          <w:tcPr>
            <w:tcW w:type="dxa" w:w="3216"/>
          </w:tcPr>
          <w:p>
            <w:r>
              <w:t>id, owner_id, parent_type/id, storage_ref, mime, status, visibility</w:t>
            </w:r>
          </w:p>
        </w:tc>
        <w:tc>
          <w:tcPr>
            <w:tcW w:type="dxa" w:w="3216"/>
          </w:tcPr>
          <w:p>
            <w:r>
              <w:t>caption, ordering, original_filename, checksum, dimensions/duration</w:t>
            </w:r>
          </w:p>
        </w:tc>
      </w:tr>
      <w:tr>
        <w:tc>
          <w:tcPr>
            <w:tcW w:type="dxa" w:w="3216"/>
          </w:tcPr>
          <w:p>
            <w:r>
              <w:t>Brief</w:t>
            </w:r>
          </w:p>
        </w:tc>
        <w:tc>
          <w:tcPr>
            <w:tcW w:type="dxa" w:w="3216"/>
          </w:tcPr>
          <w:p>
            <w:r>
              <w:t>id, possibility_id, current_version_id, autosave_status</w:t>
            </w:r>
          </w:p>
        </w:tc>
        <w:tc>
          <w:tcPr>
            <w:tcW w:type="dxa" w:w="3216"/>
          </w:tcPr>
          <w:p>
            <w:r>
              <w:t>freeform_text, attachment refs</w:t>
            </w:r>
          </w:p>
        </w:tc>
      </w:tr>
      <w:tr>
        <w:tc>
          <w:tcPr>
            <w:tcW w:type="dxa" w:w="3216"/>
          </w:tcPr>
          <w:p>
            <w:r>
              <w:t>BriefVersion</w:t>
            </w:r>
          </w:p>
        </w:tc>
        <w:tc>
          <w:tcPr>
            <w:tcW w:type="dxa" w:w="3216"/>
          </w:tcPr>
          <w:p>
            <w:r>
              <w:t>id, brief_id, title, question, created_at</w:t>
            </w:r>
          </w:p>
        </w:tc>
        <w:tc>
          <w:tcPr>
            <w:tcW w:type="dxa" w:w="3216"/>
          </w:tcPr>
          <w:p>
            <w:r>
              <w:t>freeform_text, attachment refs</w:t>
            </w:r>
          </w:p>
        </w:tc>
      </w:tr>
      <w:tr>
        <w:tc>
          <w:tcPr>
            <w:tcW w:type="dxa" w:w="3216"/>
          </w:tcPr>
          <w:p>
            <w:r>
              <w:t>Obsession</w:t>
            </w:r>
          </w:p>
        </w:tc>
        <w:tc>
          <w:tcPr>
            <w:tcW w:type="dxa" w:w="3216"/>
          </w:tcPr>
          <w:p>
            <w:r>
              <w:t>id, user_id, source_possibility_id, obsession_day, begun_at, frozen_brief_version_id, state</w:t>
            </w:r>
          </w:p>
        </w:tc>
        <w:tc>
          <w:tcPr>
            <w:tcW w:type="dxa" w:w="3216"/>
          </w:tcPr>
          <w:p>
            <w:r>
              <w:t>closeout_started_at, completed_at</w:t>
            </w:r>
          </w:p>
        </w:tc>
      </w:tr>
      <w:tr>
        <w:tc>
          <w:tcPr>
            <w:tcW w:type="dxa" w:w="3216"/>
          </w:tcPr>
          <w:p>
            <w:r>
              <w:t>Closeout</w:t>
            </w:r>
          </w:p>
        </w:tc>
        <w:tc>
          <w:tcPr>
            <w:tcW w:type="dxa" w:w="3216"/>
          </w:tcPr>
          <w:p>
            <w:r>
              <w:t>id, obsession_id, state, outcome, updated_at</w:t>
            </w:r>
          </w:p>
        </w:tc>
        <w:tc>
          <w:tcPr>
            <w:tcW w:type="dxa" w:w="3216"/>
          </w:tcPr>
          <w:p>
            <w:r>
              <w:t>story</w:t>
            </w:r>
          </w:p>
        </w:tc>
      </w:tr>
      <w:tr>
        <w:tc>
          <w:tcPr>
            <w:tcW w:type="dxa" w:w="3216"/>
          </w:tcPr>
          <w:p>
            <w:r>
              <w:t>Discovery</w:t>
            </w:r>
          </w:p>
        </w:tc>
        <w:tc>
          <w:tcPr>
            <w:tcW w:type="dxa" w:w="3216"/>
          </w:tcPr>
          <w:p>
            <w:r>
              <w:t>id, obsession_id, title, ordering</w:t>
            </w:r>
          </w:p>
        </w:tc>
        <w:tc>
          <w:tcPr>
            <w:tcW w:type="dxa" w:w="3216"/>
          </w:tcPr>
          <w:p>
            <w:r>
              <w:t>body</w:t>
            </w:r>
          </w:p>
        </w:tc>
      </w:tr>
      <w:tr>
        <w:tc>
          <w:tcPr>
            <w:tcW w:type="dxa" w:w="3216"/>
          </w:tcPr>
          <w:p>
            <w:r>
              <w:t>OpenThread</w:t>
            </w:r>
          </w:p>
        </w:tc>
        <w:tc>
          <w:tcPr>
            <w:tcW w:type="dxa" w:w="3216"/>
          </w:tcPr>
          <w:p>
            <w:r>
              <w:t>id, obsession_id, text, ordering</w:t>
            </w:r>
          </w:p>
        </w:tc>
        <w:tc>
          <w:tcPr>
            <w:tcW w:type="dxa" w:w="3216"/>
          </w:tcPr>
          <w:p>
            <w:r>
              <w:t>saved_possibility_id; source relationship metadata</w:t>
            </w:r>
          </w:p>
        </w:tc>
      </w:tr>
      <w:tr>
        <w:tc>
          <w:tcPr>
            <w:tcW w:type="dxa" w:w="3216"/>
          </w:tcPr>
          <w:p>
            <w:r>
              <w:t>Result</w:t>
            </w:r>
          </w:p>
        </w:tc>
        <w:tc>
          <w:tcPr>
            <w:tcW w:type="dxa" w:w="3216"/>
          </w:tcPr>
          <w:p>
            <w:r>
              <w:t>id, obsession_id, title, ordering</w:t>
            </w:r>
          </w:p>
        </w:tc>
        <w:tc>
          <w:tcPr>
            <w:tcW w:type="dxa" w:w="3216"/>
          </w:tcPr>
          <w:p>
            <w:r>
              <w:t>description, attachment_id, external_link, media_ref</w:t>
            </w:r>
          </w:p>
        </w:tc>
      </w:tr>
      <w:tr>
        <w:tc>
          <w:tcPr>
            <w:tcW w:type="dxa" w:w="3216"/>
          </w:tcPr>
          <w:p>
            <w:r>
              <w:t>Cover</w:t>
            </w:r>
          </w:p>
        </w:tc>
        <w:tc>
          <w:tcPr>
            <w:tcW w:type="dxa" w:w="3216"/>
          </w:tcPr>
          <w:p>
            <w:r>
              <w:t>id, obsession_id, image_ref, status</w:t>
            </w:r>
          </w:p>
        </w:tc>
        <w:tc>
          <w:tcPr>
            <w:tcW w:type="dxa" w:w="3216"/>
          </w:tcPr>
          <w:p>
            <w:r>
              <w:t>source_kind, focal_position, alt_text</w:t>
            </w:r>
          </w:p>
        </w:tc>
      </w:tr>
      <w:tr>
        <w:tc>
          <w:tcPr>
            <w:tcW w:type="dxa" w:w="3216"/>
          </w:tcPr>
          <w:p>
            <w:r>
              <w:t>Exhibit</w:t>
            </w:r>
          </w:p>
        </w:tc>
        <w:tc>
          <w:tcPr>
            <w:tcW w:type="dxa" w:w="3216"/>
          </w:tcPr>
          <w:p>
            <w:r>
              <w:t>id, obsession_id, visibility=private, current_version_id</w:t>
            </w:r>
          </w:p>
        </w:tc>
        <w:tc>
          <w:tcPr>
            <w:tcW w:type="dxa" w:w="3216"/>
          </w:tcPr>
          <w:p>
            <w:r>
              <w:t>public_slug, published_at</w:t>
            </w:r>
          </w:p>
        </w:tc>
      </w:tr>
      <w:tr>
        <w:tc>
          <w:tcPr>
            <w:tcW w:type="dxa" w:w="3216"/>
          </w:tcPr>
          <w:p>
            <w:r>
              <w:t>ExhibitVersion</w:t>
            </w:r>
          </w:p>
        </w:tc>
        <w:tc>
          <w:tcPr>
            <w:tcW w:type="dxa" w:w="3216"/>
          </w:tcPr>
          <w:p>
            <w:r>
              <w:t>id, exhibit_id, version, created_at</w:t>
            </w:r>
          </w:p>
        </w:tc>
        <w:tc>
          <w:tcPr>
            <w:tcW w:type="dxa" w:w="3216"/>
          </w:tcPr>
          <w:p>
            <w:r>
              <w:t>change_note</w:t>
            </w:r>
          </w:p>
        </w:tc>
      </w:tr>
      <w:tr>
        <w:tc>
          <w:tcPr>
            <w:tcW w:type="dxa" w:w="3216"/>
          </w:tcPr>
          <w:p>
            <w:r>
              <w:t>ObsessionArchive</w:t>
            </w:r>
          </w:p>
        </w:tc>
        <w:tc>
          <w:tcPr>
            <w:tcW w:type="dxa" w:w="3216"/>
          </w:tcPr>
          <w:p>
            <w:r>
              <w:t>id, obsession_id, visibility=private, frozen_brief_version_id</w:t>
            </w:r>
          </w:p>
        </w:tc>
        <w:tc>
          <w:tcPr>
            <w:tcW w:type="dxa" w:w="3216"/>
          </w:tcPr>
          <w:p>
            <w:r>
              <w:t>preserved raw material, captures, transcripts, source files, returned contents</w:t>
            </w:r>
          </w:p>
        </w:tc>
      </w:tr>
      <w:tr>
        <w:tc>
          <w:tcPr>
            <w:tcW w:type="dxa" w:w="3216"/>
          </w:tcPr>
          <w:p>
            <w:r>
              <w:t>PublicExhibitProjection</w:t>
            </w:r>
          </w:p>
        </w:tc>
        <w:tc>
          <w:tcPr>
            <w:tcW w:type="dxa" w:w="3216"/>
          </w:tcPr>
          <w:p>
            <w:r>
              <w:t>server-produced allow-listed public representation for an explicitly Public exhibit</w:t>
            </w:r>
          </w:p>
        </w:tc>
        <w:tc>
          <w:tcPr>
            <w:tcW w:type="dxa" w:w="3216"/>
          </w:tcPr>
          <w:p>
            <w:r>
              <w:t>derived public fields and public asset references only; never private source records or Archive material</w:t>
            </w:r>
          </w:p>
        </w:tc>
      </w:tr>
    </w:tbl>
    <w:p>
      <w:pPr>
        <w:spacing w:after="0"/>
      </w:pPr>
    </w:p>
    <w:p>
      <w:pPr>
        <w:pStyle w:val="Heading2"/>
      </w:pPr>
      <w:r>
        <w:t>18.2 Security and tenancy</w:t>
      </w:r>
    </w:p>
    <w:p>
      <w:pPr>
        <w:pStyle w:val="ListBullet"/>
      </w:pPr>
      <w:r>
        <w:t xml:space="preserve"> All private records are owner-scoped with database Row Level Security or an equivalent database-enforced access-control mechanism. Client-side hiding is never authorization.</w:t>
      </w:r>
    </w:p>
    <w:p>
      <w:pPr>
        <w:pStyle w:val="ListBullet"/>
      </w:pPr>
      <w:r>
        <w:t xml:space="preserve"> Storage uses private buckets by default and short-lived signed access for the owner. Public assets are explicit derivatives or allow-listed copies.</w:t>
      </w:r>
    </w:p>
    <w:p>
      <w:pPr>
        <w:pStyle w:val="ListBullet"/>
      </w:pPr>
      <w:r>
        <w:t xml:space="preserve"> Service credentials, privileged backend keys, and all server-only secrets never appear in Lovable browser code.</w:t>
      </w:r>
    </w:p>
    <w:p>
      <w:pPr>
        <w:pStyle w:val="ListBullet"/>
      </w:pPr>
      <w:r>
        <w:t>Every state transition is authorized and validated server-side, including Begin, Finish, whole-exhibit publish/unpublish, and permanent deletion.</w:t>
      </w:r>
    </w:p>
    <w:p>
      <w:pPr>
        <w:pStyle w:val="ListBullet"/>
      </w:pPr>
      <w:r>
        <w:t>Public endpoints query a dedicated whole-exhibit public projection/view that cannot return Brief drafts, the Extra Large Archive, private attachments, email, time zone, or internal identifiers.</w:t>
      </w:r>
    </w:p>
    <w:p>
      <w:pPr>
        <w:pStyle w:val="Heading1"/>
      </w:pPr>
      <w:r>
        <w:t>19. Visual and interaction direction</w:t>
      </w:r>
    </w:p>
    <w:p>
      <w:pPr>
        <w:pStyle w:val="Heading2"/>
      </w:pPr>
      <w:r>
        <w:t>19.1 Desired feeling</w:t>
      </w:r>
    </w:p>
    <w:p>
      <w:r>
        <w:t>Dark, beautiful, calm, exciting, and respectful of giving something an entire day. The interface should feel closer to entering a private gallery or beginning a creative ritual than opening a productivity dashboard.</w:t>
      </w:r>
    </w:p>
    <w:p>
      <w:pPr>
        <w:pStyle w:val="Heading2"/>
      </w:pPr>
      <w:r>
        <w:t>19.2 Dark-mode principles</w:t>
      </w:r>
    </w:p>
    <w:p>
      <w:pPr>
        <w:pStyle w:val="ListBullet"/>
      </w:pPr>
      <w:r>
        <w:t xml:space="preserve"> Dark mode is the primary authored experience, not an inverted afterthought. Use near-black charcoal rather than absolute black for main surfaces.</w:t>
      </w:r>
    </w:p>
    <w:p>
      <w:pPr>
        <w:pStyle w:val="ListBullet"/>
      </w:pPr>
      <w:r>
        <w:t xml:space="preserve"> Use restrained luminous accent color for thresholds and selection; never flood the UI with saturated status color.</w:t>
      </w:r>
    </w:p>
    <w:p>
      <w:pPr>
        <w:pStyle w:val="ListBullet"/>
      </w:pPr>
      <w:r>
        <w:t xml:space="preserve"> Warm off-white primary text; muted secondary text must still meet accessible contrast.</w:t>
      </w:r>
    </w:p>
    <w:p>
      <w:pPr>
        <w:pStyle w:val="ListBullet"/>
      </w:pPr>
      <w:r>
        <w:t xml:space="preserve"> Large typography, generous negative space, slow visual rhythm, and a shallow hierarchy.</w:t>
      </w:r>
    </w:p>
    <w:p>
      <w:pPr>
        <w:pStyle w:val="ListBullet"/>
      </w:pPr>
      <w:r>
        <w:t xml:space="preserve"> Cards are exhibit frames, not dashboard widgets. Avoid dense borders, tiny metadata, pills, badges, and metric tiles.</w:t>
      </w:r>
    </w:p>
    <w:p>
      <w:pPr>
        <w:pStyle w:val="ListBullet"/>
      </w:pPr>
      <w:r>
        <w:t xml:space="preserve"> Motion may mark Begin and Finish with a short, subtle transition; respect reduced-motion settings and never make ceremony blocking.</w:t>
      </w:r>
    </w:p>
    <w:p>
      <w:pPr>
        <w:pStyle w:val="ListBullet"/>
      </w:pPr>
      <w:r>
        <w:t>Images receive editorial framing. A real image Cover is required to Complete an Obsession. If a previously valid Cover becomes unavailable after completion, a typographic fallback may appear only as display resilience; it never satisfies the completion requirement.</w:t>
      </w:r>
    </w:p>
    <w:p>
      <w:pPr>
        <w:pStyle w:val="ListBullet"/>
      </w:pPr>
      <w:r>
        <w:t xml:space="preserve"> Use calm, descriptive microcopy: ‘Not begun,’ ‘Resume closeout,’ ‘Private,’ ‘Public.’ Avoid ‘overdue,’ ‘failed day,’ ‘streak,’ ‘crush it,’ and gamified praise.</w:t>
      </w:r>
    </w:p>
    <w:p>
      <w:pPr>
        <w:pStyle w:val="Heading2"/>
      </w:pPr>
      <w:r>
        <w:t>19.3 Interaction standards</w:t>
      </w:r>
    </w:p>
    <w:p>
      <w:pPr>
        <w:pStyle w:val="ListBullet"/>
      </w:pPr>
      <w:r>
        <w:t xml:space="preserve"> Autosave is quiet but legible; errors are explicit and recoverable.</w:t>
      </w:r>
    </w:p>
    <w:p>
      <w:pPr>
        <w:pStyle w:val="ListBullet"/>
      </w:pPr>
      <w:r>
        <w:t xml:space="preserve"> Primary actions are scarce: Give it a day, Begin Obsession, Close Obsession, Finish.</w:t>
      </w:r>
    </w:p>
    <w:p>
      <w:pPr>
        <w:pStyle w:val="ListBullet"/>
      </w:pPr>
      <w:r>
        <w:t xml:space="preserve"> Dangerous or public actions explain consequence at the point of action.</w:t>
      </w:r>
    </w:p>
    <w:p>
      <w:pPr>
        <w:pStyle w:val="ListBullet"/>
      </w:pPr>
      <w:r>
        <w:t xml:space="preserve"> Keyboard navigation, visible focus, semantic headings, 44px minimum touch targets, screen-reader labels, and WCAG AA contrast are required.</w:t>
      </w:r>
    </w:p>
    <w:p>
      <w:pPr>
        <w:pStyle w:val="Heading1"/>
      </w:pPr>
      <w:r>
        <w:t>20. Explicit non-goals for personal v0.1</w:t>
      </w:r>
    </w:p>
    <w:p>
      <w:pPr>
        <w:pStyle w:val="ListBullet"/>
      </w:pPr>
      <w:r>
        <w:t xml:space="preserve"> Teams, organizations, shared workspaces, roles, approvals, or organizational scheduling.</w:t>
      </w:r>
    </w:p>
    <w:p>
      <w:pPr>
        <w:pStyle w:val="ListBullet"/>
      </w:pPr>
      <w:r>
        <w:t xml:space="preserve"> Human-to-human Obsession exchange, trades, commissions, booking, payments, proposals, bidding, or marketplace reputation.</w:t>
      </w:r>
    </w:p>
    <w:p>
      <w:pPr>
        <w:pStyle w:val="ListBullet"/>
      </w:pPr>
      <w:r>
        <w:t xml:space="preserve"> AI requesting human attention or autonomously creating/scheduling an Obsession.</w:t>
      </w:r>
    </w:p>
    <w:p>
      <w:pPr>
        <w:pStyle w:val="ListBullet"/>
      </w:pPr>
      <w:r>
        <w:t xml:space="preserve"> AI-inferred relationships, topic clustering, recommendations, or ‘you should obsess about…’ prompts.</w:t>
      </w:r>
    </w:p>
    <w:p>
      <w:pPr>
        <w:pStyle w:val="ListBullet"/>
      </w:pPr>
      <w:r>
        <w:t xml:space="preserve"> General AI chat, agents, copilot workspace, automatic research, or work execution inside ObsessOS.</w:t>
      </w:r>
    </w:p>
    <w:p>
      <w:pPr>
        <w:pStyle w:val="ListBullet"/>
      </w:pPr>
      <w:r>
        <w:t xml:space="preserve"> Task management, subtasks, project plans, time estimates, pomodoro, calendars as planning systems, reminders designed as pressure, or productivity analytics.</w:t>
      </w:r>
    </w:p>
    <w:p>
      <w:pPr>
        <w:pStyle w:val="ListBullet"/>
      </w:pPr>
      <w:r>
        <w:t xml:space="preserve"> Social feeds, follows, likes, comments, reactions, reposts, view counts, trending, discovery ranking, or engagement notifications.</w:t>
      </w:r>
    </w:p>
    <w:p>
      <w:pPr>
        <w:pStyle w:val="ListBullet"/>
      </w:pPr>
      <w:r>
        <w:t xml:space="preserve"> Streaks, points, levels, badges, success/failure grades, day ratings, completion percentages, or behavioral nudging.</w:t>
      </w:r>
    </w:p>
    <w:p>
      <w:pPr>
        <w:pStyle w:val="ListBullet"/>
      </w:pPr>
      <w:r>
        <w:t xml:space="preserve"> Automatic continuation or recurring Obsessions. A related Obsession must be consciously considered and given a later nonconsecutive day.</w:t>
      </w:r>
    </w:p>
    <w:p>
      <w:pPr>
        <w:pStyle w:val="ListBullet"/>
      </w:pPr>
      <w:r>
        <w:t>A public Extra Large view or any public Archive material. The frozen starting record, preserved raw material, captures, and transcripts remain private.</w:t>
      </w:r>
    </w:p>
    <w:p>
      <w:pPr>
        <w:pStyle w:val="ListBullet"/>
      </w:pPr>
      <w:r>
        <w:t xml:space="preserve"> Native mobile applications; Lovable responsive web/PWA behavior is sufficient for v0.1 unless implementation requirements later say otherwise.</w:t>
      </w:r>
    </w:p>
    <w:p>
      <w:pPr>
        <w:pStyle w:val="Heading1"/>
      </w:pPr>
      <w:r>
        <w:t>21. Lovable implementation guardrails</w:t>
      </w:r>
    </w:p>
    <w:p>
      <w:pPr>
        <w:pStyle w:val="ListBullet"/>
      </w:pPr>
      <w:r>
        <w:t xml:space="preserve"> Build from this specification in vertical slices through the entire lifecycle; do not start by generating a generic dashboard or component library divorced from states.</w:t>
      </w:r>
    </w:p>
    <w:p>
      <w:pPr>
        <w:pStyle w:val="ListBullet"/>
      </w:pPr>
      <w:r>
        <w:t xml:space="preserve"> Use a typed domain model and explicit server-validated transitions. Do not encode lifecycle meaning only in UI routes or ad hoc booleans.</w:t>
      </w:r>
    </w:p>
    <w:p>
      <w:pPr>
        <w:pStyle w:val="ListBullet"/>
      </w:pPr>
      <w:r>
        <w:t>Create reusable components for exhibit cards, autosave state, attachment handling, discrete Discoveries, structured Results, Open Threads and Save as Possibility, required external-image Cover selection/cropping, whole-exhibit visibility, relationship picker, the approximately-14-day Schedule/date chooser, and the closeout step shell.</w:t>
      </w:r>
    </w:p>
    <w:p>
      <w:pPr>
        <w:pStyle w:val="ListBullet"/>
      </w:pPr>
      <w:r>
        <w:t>Keep AI optional and bounded. ObsessOS does not generate the Cover image. AI must not infer or create relationships, judge the day, plan the work, or complete reflection text as if it were the person.</w:t>
      </w:r>
    </w:p>
    <w:p>
      <w:pPr>
        <w:pStyle w:val="ListBullet"/>
      </w:pPr>
      <w:r>
        <w:t xml:space="preserve"> Preserve original user text. Any future AI-assisted rewrite must be an explicit alternative draft, never an invisible replacement.</w:t>
      </w:r>
    </w:p>
    <w:p>
      <w:pPr>
        <w:pStyle w:val="ListBullet"/>
      </w:pPr>
      <w:r>
        <w:t xml:space="preserve"> Use Lovable Cloud by default for authenticated identity, relational database behavior, private file storage, migrations/schema management, and backend/server functionality. The selected backend must provide owner-scoped Row Level Security or equivalent enforcement, secure allow-listed public projections, server-side or edge-function transitions, server-only secrets, atomic Begin and Finish behavior, immutable historical Brief snapshots, and the privacy boundaries defined in this specification. A separately managed Supabase project is an implementation fallback only if Lovable Cloud cannot satisfy a required capability.</w:t>
      </w:r>
    </w:p>
    <w:p>
      <w:pPr>
        <w:pStyle w:val="ListBullet"/>
      </w:pPr>
      <w:r>
        <w:t xml:space="preserve"> Never expose service-role credentials, storage internals, private URLs, or entire private records to the browser for convenience.</w:t>
      </w:r>
    </w:p>
    <w:p>
      <w:pPr>
        <w:pStyle w:val="ListBullet"/>
      </w:pPr>
      <w:r>
        <w:t>Implement idempotency for Begin, Finish, whole-exhibit publish/unpublish, and attachment finalization.</w:t>
      </w:r>
    </w:p>
    <w:p>
      <w:pPr>
        <w:pStyle w:val="ListBullet"/>
      </w:pPr>
      <w:r>
        <w:t xml:space="preserve"> Log technical failures and state transitions for support, but do not turn operational telemetry into user productivity analytics.</w:t>
      </w:r>
    </w:p>
    <w:p>
      <w:pPr>
        <w:pStyle w:val="Heading1"/>
      </w:pPr>
      <w:r>
        <w:t>22. Lovable-oriented acceptance criteria</w:t>
      </w:r>
    </w:p>
    <w:p>
      <w:pPr>
        <w:pStyle w:val="Heading2"/>
      </w:pPr>
      <w:r>
        <w:t>22.1 Canonical end-to-end proof</w:t>
      </w:r>
    </w:p>
    <w:p>
      <w:pPr>
        <w:pStyle w:val="ListNumber"/>
        <w:numPr>
          <w:ilvl w:val="0"/>
          <w:numId w:val="11"/>
        </w:numPr>
      </w:pPr>
      <w:r>
        <w:t>A new user sees ‘One human. One question. One day.’, answers ‘What might deserve a day?’, and creates a first Possibility with only a Question. No profile setup, display name, public identity, time-zone confirmation, scheduling, or Begin is required. The user may Give it a day or leave it as a Possibility and enter the normal product.</w:t>
      </w:r>
    </w:p>
    <w:p>
      <w:pPr>
        <w:pStyle w:val="ListNumber"/>
        <w:numPr>
          <w:ilvl w:val="0"/>
          <w:numId w:val="11"/>
        </w:numPr>
      </w:pPr>
      <w:r>
        <w:t>The user keeps the Possibility private, adds optional context and an attachment, then chooses Give it a day. Because no confirmed account/profile IANA time zone exists, the product requests lightweight confirmation only at this first date-sensitive action. The user gives the Possibility a date from the approximately-14-day Schedule and prepares a Brief with required Title and Question plus one optional freeform area and attachments. Content autosaves without Save Draft.</w:t>
      </w:r>
    </w:p>
    <w:p>
      <w:pPr>
        <w:pStyle w:val="ListNumber"/>
        <w:numPr>
          <w:ilvl w:val="0"/>
          <w:numId w:val="11"/>
        </w:numPr>
      </w:pPr>
      <w:r>
        <w:t>Begin resolves the current local date from the server instant plus the person’s confirmed account/profile IANA time zone, verifies that the Possibility is still scheduled for that date, rejects a second actual Obsession for that date, validates the spacing rule, freezes the exact Brief version, permanently stamps the historical Obsession Day, and opens the sparse Active Day exactly once even if double-clicked. If no confirmed zone exists at an attempted Begin, lightweight confirmation is required first; a browser-reported zone may prompt reconfirmation but never silently overrides the confirmed account time zone.</w:t>
      </w:r>
    </w:p>
    <w:p>
      <w:pPr>
        <w:pStyle w:val="ListNumber"/>
        <w:numPr>
          <w:ilvl w:val="0"/>
          <w:numId w:val="11"/>
        </w:numPr>
      </w:pPr>
      <w:r>
        <w:t xml:space="preserve"> The user leaves the site, returns after midnight, sees the original historical date unchanged, and begins Closeout.</w:t>
      </w:r>
    </w:p>
    <w:p>
      <w:pPr>
        <w:pStyle w:val="ListNumber"/>
        <w:numPr>
          <w:ilvl w:val="0"/>
          <w:numId w:val="11"/>
        </w:numPr>
      </w:pPr>
      <w:r>
        <w:t>The user records required Outcome, optional discrete Discoveries, and optional Story in Reflect; adds optional structured Results and Open Threads plus a required externally sourced or eligible associated-image Cover in Show; may deliberately choose Save as Possibility on an Open Thread, which explicitly declares lineage while creating one related, unscheduled Possibility; preserves optional raw material in the private Archive; leaves and resumes without loss; reviews the full preview; accepts default Private or explicitly chooses Public. If Public is chosen and no display name or public handle exists, the minimal public identity is required at that point; private Finish requires neither. The user then Finishes.</w:t>
      </w:r>
    </w:p>
    <w:p>
      <w:pPr>
        <w:pStyle w:val="ListNumber"/>
        <w:numPr>
          <w:ilvl w:val="0"/>
          <w:numId w:val="11"/>
        </w:numPr>
      </w:pPr>
      <w:r>
        <w:t xml:space="preserve"> The resulting finished exhibit shows a clear Before/After, supports edits, and never changes the frozen Brief or historical date.</w:t>
      </w:r>
    </w:p>
    <w:p>
      <w:pPr>
        <w:pStyle w:val="ListNumber"/>
        <w:numPr>
          <w:ilvl w:val="0"/>
          <w:numId w:val="11"/>
        </w:numPr>
      </w:pPr>
      <w:r>
        <w:t>The private exhibit appears in History. Making it Public publishes one whole exhibit whose Small, Medium, and Large viewing depths are derived from that exhibit and whose Extra Large Archive remains inaccessible.</w:t>
      </w:r>
    </w:p>
    <w:p>
      <w:pPr>
        <w:pStyle w:val="ListNumber"/>
        <w:numPr>
          <w:ilvl w:val="0"/>
          <w:numId w:val="11"/>
        </w:numPr>
      </w:pPr>
      <w:r>
        <w:t>Unpublishing removes access to the whole public exhibit while preserving the Completed Obsession in History and preserving its Archive privately.</w:t>
      </w:r>
    </w:p>
    <w:p>
      <w:pPr>
        <w:pStyle w:val="Heading2"/>
      </w:pPr>
      <w:r>
        <w:t>22.2 Blocking product criteria</w:t>
      </w:r>
    </w:p>
    <w:tbl>
      <w:tblPr>
        <w:tblStyle w:val="TableGrid"/>
        <w:tblW w:type="auto" w:w="0"/>
        <w:jc w:val="left"/>
        <w:tblLayout w:type="fixed"/>
        <w:tblLook w:firstColumn="1" w:firstRow="1" w:lastColumn="0" w:lastRow="0" w:noHBand="0" w:noVBand="1" w:val="04A0"/>
      </w:tblPr>
      <w:tblGrid>
        <w:gridCol w:w="4824"/>
        <w:gridCol w:w="4824"/>
      </w:tblGrid>
      <w:tr>
        <w:trPr>
          <w:tblHeader w:val="true"/>
          <w:cantSplit/>
          <w:cantSplit/>
        </w:trPr>
        <w:tc>
          <w:tcPr>
            <w:tcW w:type="dxa" w:w="1100"/>
            <w:shd w:fill="E8EEF8"/>
            <w:vAlign w:val="center"/>
            <w:tcMar>
              <w:top w:w="90" w:type="dxa"/>
              <w:start w:w="120" w:type="dxa"/>
              <w:bottom w:w="90" w:type="dxa"/>
              <w:end w:w="120" w:type="dxa"/>
            </w:tcMar>
          </w:tcPr>
          <w:p>
            <w:r>
              <w:rPr>
                <w:b/>
                <w:color w:val="304B9B"/>
                <w:sz w:val="19"/>
              </w:rPr>
              <w:t>ID</w:t>
            </w:r>
          </w:p>
        </w:tc>
        <w:tc>
          <w:tcPr>
            <w:tcW w:type="dxa" w:w="8260"/>
            <w:shd w:fill="E8EEF8"/>
            <w:vAlign w:val="center"/>
            <w:tcMar>
              <w:top w:w="90" w:type="dxa"/>
              <w:start w:w="120" w:type="dxa"/>
              <w:bottom w:w="90" w:type="dxa"/>
              <w:end w:w="120" w:type="dxa"/>
            </w:tcMar>
          </w:tcPr>
          <w:p>
            <w:r>
              <w:rPr>
                <w:b/>
                <w:color w:val="304B9B"/>
                <w:sz w:val="19"/>
              </w:rPr>
              <w:t>Acceptance criterion</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AC-01</w:t>
            </w:r>
          </w:p>
        </w:tc>
        <w:tc>
          <w:tcPr>
            <w:tcW w:type="dxa" w:w="8260"/>
            <w:vAlign w:val="center"/>
            <w:tcMar>
              <w:top w:w="90" w:type="dxa"/>
              <w:start w:w="120" w:type="dxa"/>
              <w:bottom w:w="90" w:type="dxa"/>
              <w:end w:w="120" w:type="dxa"/>
            </w:tcMar>
          </w:tcPr>
          <w:p>
            <w:pPr>
              <w:spacing w:after="40" w:line="252" w:lineRule="auto"/>
            </w:pPr>
            <w:r>
              <w:rPr>
                <w:sz w:val="18"/>
              </w:rPr>
              <w:t>No v0.1 screen exposes tasks, time tracking, scores, streaks, engagement counts, project-management objects, or general AI chat.</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AC-02</w:t>
            </w:r>
          </w:p>
        </w:tc>
        <w:tc>
          <w:tcPr>
            <w:tcW w:type="dxa" w:w="8260"/>
            <w:vAlign w:val="center"/>
            <w:tcMar>
              <w:top w:w="90" w:type="dxa"/>
              <w:start w:w="120" w:type="dxa"/>
              <w:bottom w:w="90" w:type="dxa"/>
              <w:end w:w="120" w:type="dxa"/>
            </w:tcMar>
          </w:tcPr>
          <w:p>
            <w:pPr>
              <w:spacing w:after="40" w:line="252" w:lineRule="auto"/>
            </w:pPr>
            <w:r>
              <w:t>Possibility creation requires only one Question; notes/context and attachments carry into the Brief. Onboarding creates this first real Possibility without requiring profile setup, display name, public identity, time-zone confirmation, scheduling, or Begin, and allows it to remain a Possibility.</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AC-03</w:t>
            </w:r>
          </w:p>
        </w:tc>
        <w:tc>
          <w:tcPr>
            <w:tcW w:type="dxa" w:w="8260"/>
            <w:vAlign w:val="center"/>
            <w:tcMar>
              <w:top w:w="90" w:type="dxa"/>
              <w:start w:w="120" w:type="dxa"/>
              <w:bottom w:w="90" w:type="dxa"/>
              <w:end w:w="120" w:type="dxa"/>
            </w:tcMar>
          </w:tcPr>
          <w:p>
            <w:r>
              <w:t>Schedule emphasizes approximately the next 14 days; farther dates remain possible through a secondary action. Each person/local date has at most one scheduled Possibility. An eligible empty date on S06 may open a chooser listing only existing unscheduled Possibilities; it provides no Possibility management or creation, schedules only after deliberate Question selection through the protected scheduling operation, leaves the day unchanged if dismissed, remains on Schedule after success, and does not route through S07. Possibility-first scheduling remains S05 Possibility Detail → Give it a day → S07 Give It a Day → choose date → confirm. Before Begin an occupied scheduled date supports Replace / Move / Return; a date with an actual Active, Closeout, or Finished Obsession is locked; missed dates remain Not begun and never roll forward automatically.</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AC-04</w:t>
            </w:r>
          </w:p>
        </w:tc>
        <w:tc>
          <w:tcPr>
            <w:tcW w:type="dxa" w:w="8260"/>
            <w:vAlign w:val="center"/>
            <w:tcMar>
              <w:top w:w="90" w:type="dxa"/>
              <w:start w:w="120" w:type="dxa"/>
              <w:bottom w:w="90" w:type="dxa"/>
              <w:end w:w="120" w:type="dxa"/>
            </w:tcMar>
          </w:tcPr>
          <w:p>
            <w:pPr>
              <w:spacing w:after="40" w:line="252" w:lineRule="auto"/>
            </w:pPr>
            <w:r>
              <w:t>Relationships can only be created or removed by explicit human action; no similarity process writes or suggests them. The valid creation actions are deliberate use of Related to… / the relationship picker and deliberate Save as Possibility on an Open Thread. The latter explicitly declares lineage while creating one unscheduled related Possibility and is not inferred automation.</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AC-05</w:t>
            </w:r>
          </w:p>
        </w:tc>
        <w:tc>
          <w:tcPr>
            <w:tcW w:type="dxa" w:w="8260"/>
            <w:vAlign w:val="center"/>
            <w:tcMar>
              <w:top w:w="90" w:type="dxa"/>
              <w:start w:w="120" w:type="dxa"/>
              <w:bottom w:w="90" w:type="dxa"/>
              <w:end w:w="120" w:type="dxa"/>
            </w:tcMar>
          </w:tcPr>
          <w:p>
            <w:pPr>
              <w:spacing w:after="40" w:line="252" w:lineRule="auto"/>
            </w:pPr>
            <w:r>
              <w:rPr>
                <w:sz w:val="18"/>
              </w:rPr>
              <w:t>Begin is blocked for a declared relationship to the immediately prior day and allowed after an intervening day.</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AC-06</w:t>
            </w:r>
          </w:p>
        </w:tc>
        <w:tc>
          <w:tcPr>
            <w:tcW w:type="dxa" w:w="8260"/>
            <w:vAlign w:val="center"/>
            <w:tcMar>
              <w:top w:w="90" w:type="dxa"/>
              <w:start w:w="120" w:type="dxa"/>
              <w:bottom w:w="90" w:type="dxa"/>
              <w:end w:w="120" w:type="dxa"/>
            </w:tcMar>
          </w:tcPr>
          <w:p>
            <w:pPr>
              <w:spacing w:after="40" w:line="252" w:lineRule="auto"/>
            </w:pPr>
            <w:r>
              <w:t>Begin is allowed only while the Possibility is scheduled for the current local date resolved from the server instant plus the confirmed account/profile IANA time zone. If no confirmed zone exists, lightweight confirmation is required before the first date-sensitive Give it a day / Schedule / Begin action; basic Possibility creation remains available beforehand. A browser-reported zone cannot silently override the confirmed zone. Begin is idempotent, permits at most one actual Obsession per person/local date, and creates an immutable frozen Brief plus a permanent historical date.</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AC-07</w:t>
            </w:r>
          </w:p>
        </w:tc>
        <w:tc>
          <w:tcPr>
            <w:tcW w:type="dxa" w:w="8260"/>
            <w:vAlign w:val="center"/>
            <w:tcMar>
              <w:top w:w="90" w:type="dxa"/>
              <w:start w:w="120" w:type="dxa"/>
              <w:bottom w:w="90" w:type="dxa"/>
              <w:end w:w="120" w:type="dxa"/>
            </w:tcMar>
          </w:tcPr>
          <w:p>
            <w:pPr>
              <w:spacing w:after="40" w:line="252" w:lineRule="auto"/>
            </w:pPr>
            <w:r>
              <w:rPr>
                <w:sz w:val="18"/>
              </w:rPr>
              <w:t>Past unclosed Obsessions do not block a new day and are surfaced without punishment.</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AC-08</w:t>
            </w:r>
          </w:p>
        </w:tc>
        <w:tc>
          <w:tcPr>
            <w:tcW w:type="dxa" w:w="8260"/>
            <w:vAlign w:val="center"/>
            <w:tcMar>
              <w:top w:w="90" w:type="dxa"/>
              <w:start w:w="120" w:type="dxa"/>
              <w:bottom w:w="90" w:type="dxa"/>
              <w:end w:w="120" w:type="dxa"/>
            </w:tcMar>
          </w:tcPr>
          <w:p>
            <w:pPr>
              <w:spacing w:after="40" w:line="252" w:lineRule="auto"/>
            </w:pPr>
            <w:r>
              <w:rPr>
                <w:sz w:val="18"/>
              </w:rPr>
              <w:t>Brief and every Closeout step autosave and resume without Save Draft.</w:t>
            </w:r>
          </w:p>
        </w:tc>
      </w:tr>
      <w:tr>
        <w:trPr>
          <w:cantSplit/>
        </w:trPr>
        <w:tc>
          <w:tcPr>
            <w:tcW w:type="dxa" w:w="1100"/>
            <w:vAlign w:val="center"/>
            <w:tcMar>
              <w:top w:w="90" w:type="dxa"/>
              <w:start w:w="120" w:type="dxa"/>
              <w:bottom w:w="90" w:type="dxa"/>
              <w:end w:w="120" w:type="dxa"/>
            </w:tcMar>
          </w:tcPr>
          <w:p>
            <w:pPr>
              <w:spacing w:after="40" w:line="252" w:lineRule="auto"/>
            </w:pPr>
            <w:r>
              <w:rPr>
                <w:sz w:val="18"/>
              </w:rPr>
              <w:t>AC-09</w:t>
            </w:r>
          </w:p>
        </w:tc>
        <w:tc>
          <w:tcPr>
            <w:tcW w:type="dxa" w:w="8260"/>
            <w:vAlign w:val="center"/>
            <w:tcMar>
              <w:top w:w="90" w:type="dxa"/>
              <w:start w:w="120" w:type="dxa"/>
              <w:bottom w:w="90" w:type="dxa"/>
              <w:end w:w="120" w:type="dxa"/>
            </w:tcMar>
          </w:tcPr>
          <w:p>
            <w:r>
              <w:t>Finish requires Title, Question, Outcome, a real externally sourced or eligible associated-image Cover, full preview, and explicit whole-exhibit visibility; Private is the default and all other closeout content is optional. ObsessOS never generates the Cover.</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AC-10</w:t>
            </w:r>
          </w:p>
        </w:tc>
        <w:tc>
          <w:tcPr>
            <w:tcW w:type="dxa" w:w="8260"/>
            <w:vAlign w:val="center"/>
            <w:tcMar>
              <w:top w:w="90" w:type="dxa"/>
              <w:start w:w="120" w:type="dxa"/>
              <w:bottom w:w="90" w:type="dxa"/>
              <w:end w:w="120" w:type="dxa"/>
            </w:tcMar>
          </w:tcPr>
          <w:p>
            <w:pPr>
              <w:spacing w:after="40" w:line="252" w:lineRule="auto"/>
            </w:pPr>
            <w:r>
              <w:rPr>
                <w:sz w:val="18"/>
              </w:rPr>
              <w:t>Completed presentation may change while obsession_day and frozen Brief remain immutable.</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AC-11</w:t>
            </w:r>
          </w:p>
        </w:tc>
        <w:tc>
          <w:tcPr>
            <w:tcW w:type="dxa" w:w="8260"/>
            <w:vAlign w:val="center"/>
            <w:tcMar>
              <w:top w:w="90" w:type="dxa"/>
              <w:start w:w="120" w:type="dxa"/>
              <w:bottom w:w="90" w:type="dxa"/>
              <w:end w:w="120" w:type="dxa"/>
            </w:tcMar>
          </w:tcPr>
          <w:p>
            <w:pPr>
              <w:spacing w:after="40" w:line="252" w:lineRule="auto"/>
            </w:pPr>
            <w:r>
              <w:rPr>
                <w:sz w:val="18"/>
              </w:rPr>
              <w:t>History renders as a gallery without metrics, streaks, heatmaps, completion summaries, or inferred grouping.</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AC-12</w:t>
            </w:r>
          </w:p>
        </w:tc>
        <w:tc>
          <w:tcPr>
            <w:tcW w:type="dxa" w:w="8260"/>
            <w:vAlign w:val="center"/>
            <w:tcMar>
              <w:top w:w="90" w:type="dxa"/>
              <w:start w:w="120" w:type="dxa"/>
              <w:bottom w:w="90" w:type="dxa"/>
              <w:end w:w="120" w:type="dxa"/>
            </w:tcMar>
          </w:tcPr>
          <w:p>
            <w:r>
              <w:t>Each Completed Obsession has an always-private Archive attached to it; Archive is not a lifecycle state and does not remove the exhibit from History or change its visibility semantics.</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AC-13</w:t>
            </w:r>
          </w:p>
        </w:tc>
        <w:tc>
          <w:tcPr>
            <w:tcW w:type="dxa" w:w="8260"/>
            <w:vAlign w:val="center"/>
            <w:tcMar>
              <w:top w:w="90" w:type="dxa"/>
              <w:start w:w="120" w:type="dxa"/>
              <w:bottom w:w="90" w:type="dxa"/>
              <w:end w:w="120" w:type="dxa"/>
            </w:tcMar>
          </w:tcPr>
          <w:p>
            <w:r>
              <w:t>The Extra Large Archive is technically inaccessible from every public route and asset URL.</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AC-14</w:t>
            </w:r>
          </w:p>
        </w:tc>
        <w:tc>
          <w:tcPr>
            <w:tcW w:type="dxa" w:w="8260"/>
            <w:vAlign w:val="center"/>
            <w:tcMar>
              <w:top w:w="90" w:type="dxa"/>
              <w:start w:w="120" w:type="dxa"/>
              <w:bottom w:w="90" w:type="dxa"/>
              <w:end w:w="120" w:type="dxa"/>
            </w:tcMar>
          </w:tcPr>
          <w:p>
            <w:pPr>
              <w:spacing w:after="40" w:line="252" w:lineRule="auto"/>
            </w:pPr>
            <w:r>
              <w:rPr>
                <w:sz w:val="18"/>
              </w:rPr>
              <w:t>All private tables and storage objects fail closed under cross-user access tests.</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AC-15</w:t>
            </w:r>
          </w:p>
        </w:tc>
        <w:tc>
          <w:tcPr>
            <w:tcW w:type="dxa" w:w="8260"/>
            <w:vAlign w:val="center"/>
            <w:tcMar>
              <w:top w:w="90" w:type="dxa"/>
              <w:start w:w="120" w:type="dxa"/>
              <w:bottom w:w="90" w:type="dxa"/>
              <w:end w:w="120" w:type="dxa"/>
            </w:tcMar>
          </w:tcPr>
          <w:p>
            <w:pPr>
              <w:spacing w:after="40" w:line="252" w:lineRule="auto"/>
            </w:pPr>
            <w:r>
              <w:rPr>
                <w:sz w:val="18"/>
              </w:rPr>
              <w:t>Dark-mode layouts pass keyboard, focus, reduced-motion, touch-target, screen-reader, and WCAG AA contrast checks.</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AC-16</w:t>
            </w:r>
          </w:p>
        </w:tc>
        <w:tc>
          <w:tcPr>
            <w:tcW w:type="dxa" w:w="8260"/>
            <w:vAlign w:val="center"/>
            <w:tcMar>
              <w:top w:w="90" w:type="dxa"/>
              <w:start w:w="120" w:type="dxa"/>
              <w:bottom w:w="90" w:type="dxa"/>
              <w:end w:w="120" w:type="dxa"/>
            </w:tcMar>
          </w:tcPr>
          <w:p>
            <w:pPr>
              <w:spacing w:after="40" w:line="252" w:lineRule="auto"/>
            </w:pPr>
            <w:r>
              <w:rPr>
                <w:sz w:val="18"/>
              </w:rPr>
              <w:t>Network interruption preserves recoverable text and makes Begin/Finish unavailable until required persistence is confirmed.</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AC-17</w:t>
            </w:r>
          </w:p>
        </w:tc>
        <w:tc>
          <w:tcPr>
            <w:tcW w:type="dxa" w:w="8260"/>
            <w:vAlign w:val="center"/>
            <w:tcMar>
              <w:top w:w="90" w:type="dxa"/>
              <w:start w:w="120" w:type="dxa"/>
              <w:bottom w:w="90" w:type="dxa"/>
              <w:end w:w="120" w:type="dxa"/>
            </w:tcMar>
          </w:tcPr>
          <w:p>
            <w:pPr>
              <w:spacing w:after="40" w:line="252" w:lineRule="auto"/>
            </w:pPr>
            <w:r>
              <w:rPr>
                <w:sz w:val="18"/>
              </w:rPr>
              <w:t>Public pages are server-produced allow-listed projections and contain no private identifiers or hidden private payloads.</w:t>
            </w:r>
          </w:p>
        </w:tc>
      </w:tr>
      <w:tr>
        <w:trPr>
          <w:cantSplit/>
        </w:trPr>
        <w:tc>
          <w:tcPr>
            <w:tcW w:type="dxa" w:w="1100"/>
            <w:vAlign w:val="center"/>
            <w:tcMar>
              <w:top w:w="90" w:type="dxa"/>
              <w:start w:w="120" w:type="dxa"/>
              <w:bottom w:w="90" w:type="dxa"/>
              <w:end w:w="120" w:type="dxa"/>
            </w:tcMar>
          </w:tcPr>
          <w:p>
            <w:pPr>
              <w:spacing w:after="40" w:line="252" w:lineRule="auto"/>
            </w:pPr>
            <w:r>
              <w:rPr>
                <w:sz w:val="18"/>
              </w:rPr>
              <w:t>AC-18</w:t>
            </w:r>
          </w:p>
        </w:tc>
        <w:tc>
          <w:tcPr>
            <w:tcW w:type="dxa" w:w="8260"/>
            <w:vAlign w:val="center"/>
            <w:tcMar>
              <w:top w:w="90" w:type="dxa"/>
              <w:start w:w="120" w:type="dxa"/>
              <w:bottom w:w="90" w:type="dxa"/>
              <w:end w:w="120" w:type="dxa"/>
            </w:tcMar>
          </w:tcPr>
          <w:p>
            <w:r>
              <w:t>All 22 screens have defined loading, empty, saving, error, unauthorized, and not-found behavior appropriate to their state.</w:t>
            </w:r>
          </w:p>
        </w:tc>
      </w:tr>
      <w:tr>
        <w:tc>
          <w:tcPr>
            <w:tcW w:type="dxa" w:w="4824"/>
          </w:tcPr>
          <w:p>
            <w:r>
              <w:t>AC-19</w:t>
            </w:r>
          </w:p>
        </w:tc>
        <w:tc>
          <w:tcPr>
            <w:tcW w:type="dxa" w:w="4824"/>
          </w:tcPr>
          <w:p>
            <w:r>
              <w:t>Private Personal v0.1 use does not require a display name. Choosing Public requires display name plus public handle at the publishing threshold; avatar, bio, and external link remain optional.</w:t>
            </w:r>
          </w:p>
        </w:tc>
      </w:tr>
      <w:tr>
        <w:tc>
          <w:tcPr>
            <w:tcW w:type="dxa" w:w="4824"/>
          </w:tcPr>
          <w:p>
            <w:r>
              <w:t>AC-20</w:t>
            </w:r>
          </w:p>
        </w:tc>
        <w:tc>
          <w:tcPr>
            <w:tcW w:type="dxa" w:w="4824"/>
          </w:tcPr>
          <w:p>
            <w:r>
              <w:t>The ordinary user-facing action is Let it go. It removes a Possibility from the active Possibilities collection without failure, overdue, or cancellation language and remains distinct from permanent deletion in Settings/data controls.</w:t>
            </w:r>
          </w:p>
        </w:tc>
      </w:tr>
    </w:tbl>
    <w:p>
      <w:pPr>
        <w:spacing w:after="0"/>
      </w:pPr>
    </w:p>
    <w:p>
      <w:pPr>
        <w:pStyle w:val="Heading2"/>
      </w:pPr>
      <w:r>
        <w:t>22.3 Visual acceptance</w:t>
      </w:r>
    </w:p>
    <w:p>
      <w:pPr>
        <w:pStyle w:val="ListBullet"/>
      </w:pPr>
      <w:r>
        <w:t xml:space="preserve"> Today can be understood in five seconds and contains no dashboard grid.</w:t>
      </w:r>
    </w:p>
    <w:p>
      <w:pPr>
        <w:pStyle w:val="ListBullet"/>
      </w:pPr>
      <w:r>
        <w:t xml:space="preserve"> Begin and Finish feel consequential through hierarchy and restrained motion, not through gamification.</w:t>
      </w:r>
    </w:p>
    <w:p>
      <w:pPr>
        <w:pStyle w:val="ListBullet"/>
      </w:pPr>
      <w:r>
        <w:t xml:space="preserve"> Active Day is the sparsest authenticated screen.</w:t>
      </w:r>
    </w:p>
    <w:p>
      <w:pPr>
        <w:pStyle w:val="ListBullet"/>
      </w:pPr>
      <w:r>
        <w:t xml:space="preserve"> History reads as a composed gallery at desktop and mobile widths.</w:t>
      </w:r>
    </w:p>
    <w:p>
      <w:pPr>
        <w:pStyle w:val="ListBullet"/>
      </w:pPr>
      <w:r>
        <w:t xml:space="preserve"> Public pages and private exhibits visibly belong to the same product while private controls never leak into public markup.</w:t>
      </w:r>
    </w:p>
    <w:p>
      <w:pPr>
        <w:pStyle w:val="Heading1"/>
      </w:pPr>
      <w:r>
        <w:t>23. Deliberately unresolved implementation details</w:t>
      </w:r>
    </w:p>
    <w:p>
      <w:r>
        <w:t>The following are not product redesign opportunities. They should be decided in the later Lovable Implementation Plan within the boundaries above:</w:t>
      </w:r>
    </w:p>
    <w:p>
      <w:pPr>
        <w:pStyle w:val="ListBullet"/>
      </w:pPr>
      <w:r>
        <w:t xml:space="preserve"> Exact table/column names, migration order, and server-side or edge-function names within the Lovable Cloud implementation; if a required capability cannot be satisfied there, the equivalent separately managed Supabase fallback details.</w:t>
      </w:r>
    </w:p>
    <w:p>
      <w:pPr>
        <w:pStyle w:val="ListBullet"/>
      </w:pPr>
      <w:r>
        <w:t xml:space="preserve"> Allowed attachment MIME types, size limits, transcoding, virus scanning, and retention mechanics.</w:t>
      </w:r>
    </w:p>
    <w:p>
      <w:pPr>
        <w:pStyle w:val="ListBullet"/>
      </w:pPr>
      <w:r>
        <w:t>Exact interaction details within the approximately-14-day primary Schedule surface and the secondary extended-date picker. The 14-day emphasis is not a hard scheduling limit.</w:t>
      </w:r>
    </w:p>
    <w:p>
      <w:pPr>
        <w:pStyle w:val="ListBullet"/>
      </w:pPr>
      <w:r>
        <w:t>Exact responsive transitions among the conceptual Small, Medium, and Large viewing depths. They must remain views of one exhibit, not separately authored forms or public selectors.</w:t>
      </w:r>
    </w:p>
    <w:p>
      <w:pPr>
        <w:pStyle w:val="ListBullet"/>
      </w:pPr>
      <w:r>
        <w:t xml:space="preserve"> Export format and permanent-account-deletion waiting period, subject to privacy/legal review.</w:t>
      </w:r>
    </w:p>
    <w:tbl>
      <w:tblPr>
        <w:tblW w:type="auto" w:w="0"/>
        <w:jc w:val="left"/>
        <w:tblLayout w:type="fixed"/>
        <w:tblLook w:firstColumn="1" w:firstRow="1" w:lastColumn="0" w:lastRow="0" w:noHBand="0" w:noVBand="1" w:val="04A0"/>
      </w:tblPr>
      <w:tblGrid>
        <w:gridCol w:w="9648"/>
      </w:tblGrid>
      <w:tr>
        <w:tc>
          <w:tcPr>
            <w:tcW w:type="dxa" w:w="9360"/>
            <w:shd w:fill="F4F6FA"/>
            <w:tcMar>
              <w:top w:w="130" w:type="dxa"/>
              <w:start w:w="160" w:type="dxa"/>
              <w:bottom w:w="130" w:type="dxa"/>
              <w:end w:w="160" w:type="dxa"/>
            </w:tcMar>
          </w:tcPr>
          <w:p>
            <w:pPr>
              <w:spacing w:after="0"/>
            </w:pPr>
            <w:r>
              <w:rPr>
                <w:b/>
                <w:color w:val="304B9B"/>
                <w:sz w:val="18"/>
              </w:rPr>
              <w:t xml:space="preserve">NO KNOWN CONFLICT  </w:t>
            </w:r>
            <w:r>
              <w:rPr>
                <w:sz w:val="20"/>
              </w:rPr>
              <w:t>The settled Project decisions used here are internally compatible. The most important implementation tensions—editable finished exhibits versus immutable history, and multiple open Obsessions versus one-day identity—are resolved through immutable date/Brief snapshots plus editable presentation and non-blocking resumable closeouts.</w:t>
            </w:r>
          </w:p>
        </w:tc>
      </w:tr>
    </w:tbl>
    <w:p>
      <w:pPr>
        <w:spacing w:after="0"/>
      </w:pPr>
    </w:p>
    <w:p>
      <w:pPr>
        <w:pStyle w:val="Heading1"/>
      </w:pPr>
      <w:r>
        <w:t>24. Canonical summary</w:t>
      </w:r>
    </w:p>
    <w:p>
      <w:r>
        <w:t>Personal v0.1 succeeds when one person can notice a question, give it a nearby day, prepare a simple Brief, cross a deliberate threshold into that day, leave the system alone while living it, return to reflect, show, and privately preserve what happened, then encounter the day as one finished exhibit in History—with a required Cover, a private default, an explicit whole-exhibit Public choice, and an always-private Archive. Everything else is secondary. Anything that converts this loop into task management, performance measurement, AI work execution, social engagement, or marketplace behavior is outside the product.</w:t>
      </w:r>
    </w:p>
    <w:p>
      <w:pPr>
        <w:pStyle w:val="Heading1"/>
      </w:pPr>
      <w:r>
        <w:t>25. Conflict corrections applied to this revision</w:t>
      </w:r>
    </w:p>
    <w:p>
      <w:r>
        <w:t>The prior specification conflicted with later settled Project decisions in the following places. This revision makes only these corrections and preserves all unaffected decisions.</w:t>
      </w:r>
    </w:p>
    <w:p>
      <w:pPr>
        <w:pStyle w:val="ListBullet"/>
      </w:pPr>
      <w:r>
        <w:t>Brief — Replaced the former required preparation field and separate optional-content prompts with required Title and Question plus one optional freeform text area and optional attachments; updated the Brief data contract, screen actions, frozen version schema, and acceptance flow.</w:t>
      </w:r>
    </w:p>
    <w:p>
      <w:pPr>
        <w:pStyle w:val="ListBullet"/>
      </w:pPr>
      <w:r>
        <w:t>Cover — Made one real image Cover mandatory for completion; established that it is created or obtained outside ObsessOS or selected from eligible associated image media; removed ObsessOS-native generation and the typographic-fallback completion path; added blocking Finish validation and post-completion display-resilience behavior.</w:t>
      </w:r>
    </w:p>
    <w:p>
      <w:pPr>
        <w:pStyle w:val="ListBullet"/>
      </w:pPr>
      <w:r>
        <w:t>Closeout — Replaced the former reflection fields with required Outcome, optional discrete Discoveries, and optional Story; defined Show as optional structured Results, optional Open Threads with explicit Save as Possibility, and required externally sourced Cover; made Preserve solely about private Archive material; made Finish a full preview followed by a whole-exhibit Public or Private choice.</w:t>
      </w:r>
    </w:p>
    <w:p>
      <w:pPr>
        <w:pStyle w:val="ListBullet"/>
      </w:pPr>
      <w:r>
        <w:t>Results — Replaced generic selected artifacts/captions with structured Result items containing title, optional description, and file/link/media, with no manual type or category field.</w:t>
      </w:r>
    </w:p>
    <w:p>
      <w:pPr>
        <w:pStyle w:val="ListBullet"/>
      </w:pPr>
      <w:r>
        <w:t>S/M/L/XL — Recast them as conceptual viewing depths of one Completed Obsession: Small gallery/card glance, Medium understanding of the finished exhibit, Large Results exploration, and Extra Large private Archive. Removed separately authored preservation forms and the public-form selector.</w:t>
      </w:r>
    </w:p>
    <w:p>
      <w:pPr>
        <w:pStyle w:val="ListBullet"/>
      </w:pPr>
      <w:r>
        <w:t>Archive — Replaced the unrelated global archive lifecycle, archive action, and Restore transition with an always-private back room and explicit owner-only screen attached to each Completed Obsession, containing What You Started With, What You Preserved, and What Came Back.</w:t>
      </w:r>
    </w:p>
    <w:p>
      <w:pPr>
        <w:pStyle w:val="ListBullet"/>
      </w:pPr>
      <w:r>
        <w:t>Primary navigation — Changed authenticated primary navigation to Today, Possibilities, Schedule, and History; added an exact Schedule screen to the inventory.</w:t>
      </w:r>
    </w:p>
    <w:p>
      <w:pPr>
        <w:pStyle w:val="ListBullet"/>
      </w:pPr>
      <w:r>
        <w:t>Schedule — Set the primary horizon to approximately the next 14 days while preserving farther scheduling as a secondary option rather than a hard limit.</w:t>
      </w:r>
    </w:p>
    <w:p>
      <w:pPr>
        <w:pStyle w:val="ListBullet"/>
      </w:pPr>
      <w:r>
        <w:t>Active Day — Removed capture as a centered behavior; clarified that work happens anywhere and capture is never required. Retained only a quiet optional route for adding material to the private Archive.</w:t>
      </w:r>
    </w:p>
    <w:p>
      <w:pPr>
        <w:pStyle w:val="ListBullet"/>
      </w:pPr>
      <w:r>
        <w:t>Visibility — Confirmed every Completed Obsession defaults Private; Public is an explicit whole-exhibit choice at Finish or afterward; removed public depth/form selection; kept the Archive always private.</w:t>
      </w:r>
    </w:p>
    <w:p>
      <w:pPr>
        <w:pStyle w:val="ListBullet"/>
      </w:pPr>
      <w:r>
        <w:t>Cross-document consistency — Updated lifecycle language, screen inventory, state machines, edge cases, data entities, security rules, implementation guardrails, end-to-end proof, blocking acceptance criteria, visual rules, non-goals, unresolved details, and canonical summary so none of the superseded rules remain normative.</w:t>
      </w:r>
    </w:p>
    <w:p>
      <w:pPr>
        <w:pStyle w:val="ListBullet"/>
        <w:spacing w:before="60"/>
      </w:pPr>
      <w:r>
        <w:t>Scheduling — Established at most one scheduled Possibility per local calendar day as the canonical rule; scheduling is one current intention, with explicit replace, move, or return actions before Begin and a locked day after Begin. Updated validation, screens, state constraints, recovery, data rules, and acceptance criteria without changing relationship or next-day restrictions.</w:t>
      </w:r>
    </w:p>
    <w:p>
      <w:pPr>
        <w:pStyle w:val="ListBullet"/>
        <w:spacing w:before="60"/>
      </w:pPr>
      <w:r>
        <w:t>Backend — Reframed the specification around required backend capabilities and made Lovable Cloud the default for authentication, relational data, storage, and backend/server functionality. A separately managed Supabase project is now only a fallback when Lovable Cloud cannot satisfy a required capability; all existing security, atomicity, immutability, and privacy requirements remain intact.</w:t>
      </w:r>
    </w:p>
    <w:p>
      <w:pPr>
        <w:pStyle w:val="Heading1"/>
      </w:pPr>
      <w:r>
        <w:t>26. Final Lockdown Verification</w:t>
      </w:r>
    </w:p>
    <w:p>
      <w:pPr>
        <w:pStyle w:val="ListNumber"/>
        <w:numPr>
          <w:ilvl w:val="0"/>
          <w:numId w:val="12"/>
        </w:numPr>
      </w:pPr>
      <w:r>
        <w:t>Time-zone authority is the confirmed IANA time zone plus server instant.</w:t>
      </w:r>
    </w:p>
    <w:p>
      <w:pPr>
        <w:pStyle w:val="ListNumber"/>
        <w:numPr>
          <w:ilvl w:val="0"/>
          <w:numId w:val="12"/>
        </w:numPr>
      </w:pPr>
      <w:r>
        <w:t>One scheduled Possibility per human/local date is canonical.</w:t>
      </w:r>
    </w:p>
    <w:p>
      <w:pPr>
        <w:pStyle w:val="ListNumber"/>
        <w:numPr>
          <w:ilvl w:val="0"/>
          <w:numId w:val="12"/>
        </w:numPr>
      </w:pPr>
      <w:r>
        <w:t>One actual Obsession per human/local date is canonical.</w:t>
      </w:r>
    </w:p>
    <w:p>
      <w:pPr>
        <w:pStyle w:val="ListNumber"/>
        <w:numPr>
          <w:ilvl w:val="0"/>
          <w:numId w:val="12"/>
        </w:numPr>
      </w:pPr>
      <w:r>
        <w:t>Dates already containing an actual Obsession are locked.</w:t>
      </w:r>
    </w:p>
    <w:p>
      <w:pPr>
        <w:pStyle w:val="ListNumber"/>
        <w:numPr>
          <w:ilvl w:val="0"/>
          <w:numId w:val="12"/>
        </w:numPr>
      </w:pPr>
      <w:r>
        <w:t>Begin requires the Possibility to be scheduled for the resolved current local date.</w:t>
      </w:r>
    </w:p>
    <w:p>
      <w:pPr>
        <w:pStyle w:val="ListNumber"/>
        <w:numPr>
          <w:ilvl w:val="0"/>
          <w:numId w:val="12"/>
        </w:numPr>
      </w:pPr>
      <w:r>
        <w:t>Possibility requires Question only; Brief requires Title + Question.</w:t>
      </w:r>
    </w:p>
    <w:p>
      <w:pPr>
        <w:pStyle w:val="ListNumber"/>
        <w:numPr>
          <w:ilvl w:val="0"/>
          <w:numId w:val="12"/>
        </w:numPr>
      </w:pPr>
      <w:r>
        <w:t>Cover is a required real externally obtained/associated image and is never generated by ObsessOS.</w:t>
      </w:r>
    </w:p>
    <w:p>
      <w:pPr>
        <w:pStyle w:val="ListNumber"/>
        <w:numPr>
          <w:ilvl w:val="0"/>
          <w:numId w:val="12"/>
        </w:numPr>
      </w:pPr>
      <w:r>
        <w:t>Discoveries are optional discrete items.</w:t>
      </w:r>
    </w:p>
    <w:p>
      <w:pPr>
        <w:pStyle w:val="ListNumber"/>
        <w:numPr>
          <w:ilvl w:val="0"/>
          <w:numId w:val="12"/>
        </w:numPr>
      </w:pPr>
      <w:r>
        <w:t>Open Thread → Possibility happens only through deliberate Save as Possibility, which is itself the person’s explicit declaration of lineage to the source Obsession; it is not inferred automation.</w:t>
      </w:r>
    </w:p>
    <w:p>
      <w:pPr>
        <w:pStyle w:val="ListNumber"/>
        <w:numPr>
          <w:ilvl w:val="0"/>
          <w:numId w:val="12"/>
        </w:numPr>
      </w:pPr>
      <w:r>
        <w:t>S/M/L/XL are viewing depths, with XL as the always-private Archive.</w:t>
      </w:r>
    </w:p>
    <w:p>
      <w:pPr>
        <w:pStyle w:val="ListNumber"/>
        <w:numPr>
          <w:ilvl w:val="0"/>
          <w:numId w:val="12"/>
        </w:numPr>
      </w:pPr>
      <w:r>
        <w:t>Archive is attached private memory, not a lifecycle state.</w:t>
      </w:r>
    </w:p>
    <w:p>
      <w:pPr>
        <w:pStyle w:val="ListNumber"/>
        <w:numPr>
          <w:ilvl w:val="0"/>
          <w:numId w:val="12"/>
        </w:numPr>
      </w:pPr>
      <w:r>
        <w:t>Public data is produced through a dedicated allow-listed public projection rather than exposure of private source records.</w:t>
      </w:r>
    </w:p>
    <w:p>
      <w:pPr>
        <w:pStyle w:val="ListNumber"/>
        <w:numPr>
          <w:ilvl w:val="0"/>
          <w:numId w:val="12"/>
        </w:numPr>
      </w:pPr>
      <w:r>
        <w:t>The exact screen inventory contains 22 screens and primary navigation is Today / Possibilities / Schedule / History.</w:t>
      </w:r>
    </w:p>
    <w:p>
      <w:pPr>
        <w:pStyle w:val="ListNumber"/>
        <w:numPr>
          <w:ilvl w:val="0"/>
          <w:numId w:val="12"/>
        </w:numPr>
      </w:pPr>
      <w:r>
        <w:t>No prohibited productivity, AI-workspace, social-engagement, project-management, or marketplace behavior is present.</w:t>
      </w:r>
    </w:p>
    <w:p>
      <w:pPr>
        <w:numPr>
          <w:ilvl w:val="0"/>
          <w:numId w:val="12"/>
        </w:numPr>
      </w:pPr>
      <w:r>
        <w:t>Onboarding begins with the first real Possibility and does not require profile setup.</w:t>
      </w:r>
    </w:p>
    <w:p>
      <w:pPr>
        <w:numPr>
          <w:ilvl w:val="0"/>
          <w:numId w:val="12"/>
        </w:numPr>
      </w:pPr>
      <w:r>
        <w:t>Time-zone confirmation is deferred until first date-sensitive scheduling/Begin use if not already confirmed.</w:t>
      </w:r>
    </w:p>
    <w:p>
      <w:pPr>
        <w:numPr>
          <w:ilvl w:val="0"/>
          <w:numId w:val="12"/>
        </w:numPr>
      </w:pPr>
      <w:r>
        <w:t>Private use does not require a display name; minimal public identity is required only when publishing.</w:t>
      </w:r>
    </w:p>
    <w:p>
      <w:pPr>
        <w:numPr>
          <w:ilvl w:val="0"/>
          <w:numId w:val="12"/>
        </w:numPr>
      </w:pPr>
      <w:r>
        <w:t>Save as Possibility is an explicit human relationship-declaring action, not inferred automation.</w:t>
      </w:r>
    </w:p>
    <w:p>
      <w:pPr>
        <w:numPr>
          <w:ilvl w:val="0"/>
          <w:numId w:val="12"/>
        </w:numPr>
      </w:pPr>
      <w:r>
        <w:t>The ordinary Possibility removal action is Let it go, distinct from permanent deletion.</w:t>
      </w:r>
    </w:p>
    <w:p>
      <w:r>
        <w:rPr>
          <w:b/>
        </w:rPr>
        <w:t>“ObsessOS — Personal v0.1 Product Specification is frozen and ready to serve as the authoritative product source for the Personal v0.1 Lovable implementation.”</w:t>
      </w:r>
    </w:p>
    <w:sectPr w:rsidR="00FC693F" w:rsidRPr="0006063C" w:rsidSect="00034616">
      <w:headerReference w:type="default" r:id="rId9"/>
      <w:footerReference w:type="default" r:id="rId10"/>
      <w:pgSz w:w="12240" w:h="15840"/>
      <w:pgMar w:top="1181" w:right="1296" w:bottom="1123"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085"/>
        <w:sz w:val="16"/>
      </w:rPr>
      <w:t>CANONICAL • LOVABLE HANDOFF • 26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67085"/>
        <w:sz w:val="16"/>
      </w:rPr>
      <w:t>ObsessOS  /  Personal v0.1 Product Specification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ptos" w:hAnsi="Aptos"/>
      <w:color w:val="1720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304B9B"/>
      <w:sz w:val="34"/>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304B9B"/>
      <w:sz w:val="27"/>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1720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ObsessOS — Personal v0.1 Product Specification</dc:title>
  <dc:subject>Canonical Lovable implementation specification</dc:subject>
  <dc:creator>Studio Conners</dc:creator>
  <cp:keywords>ObsessOS, personal v0.1, Lovable, product specification</cp:keywords>
  <dc:description>generated by python-docx</dc:description>
  <cp:lastModifiedBy/>
  <cp:revision>1</cp:revision>
  <dcterms:created xsi:type="dcterms:W3CDTF">2013-12-23T23:15:00Z</dcterms:created>
  <dcterms:modified xsi:type="dcterms:W3CDTF">2013-12-23T23:15:00Z</dcterms:modified>
  <cp:category/>
</cp:coreProperties>
</file>