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Day Debrief</w:t>
      </w:r>
    </w:p>
    <w:p>
      <w:pPr>
        <w:spacing w:after="160"/>
      </w:pPr>
      <w:r>
        <w:rPr>
          <w:color w:val="6E665F"/>
          <w:sz w:val="21"/>
        </w:rPr>
        <w:t>STUDIO CONNERS | Client handoff template • v0.1</w:t>
      </w:r>
    </w:p>
    <w:p>
      <w:pPr>
        <w:spacing w:after="260"/>
      </w:pPr>
      <w:r>
        <w:rPr>
          <w:b/>
          <w:color w:val="A14F2B"/>
          <w:sz w:val="17"/>
        </w:rPr>
        <w:t>REUSABLE CLIENT-FACING ARTIFACT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8CEC2"/>
          <w:left w:val="single" w:sz="6" w:space="0" w:color="D8CEC2"/>
          <w:bottom w:val="single" w:sz="6" w:space="0" w:color="D8CEC2"/>
          <w:right w:val="single" w:sz="6" w:space="0" w:color="D8CEC2"/>
          <w:insideH w:val="single" w:sz="6" w:space="0" w:color="D8CEC2"/>
          <w:insideV w:val="single" w:sz="6" w:space="0" w:color="D8CEC2"/>
        </w:tblBorders>
      </w:tblPr>
      <w:tblGrid>
        <w:gridCol w:w="9994"/>
      </w:tblGrid>
      <w:tr>
        <w:tc>
          <w:tcPr>
            <w:tcW w:type="dxa" w:w="9994"/>
            <w:shd w:fill="FBF8F4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b/>
                <w:color w:val="A14F2B"/>
              </w:rPr>
              <w:t>Purpose</w:t>
            </w:r>
          </w:p>
          <w:p>
            <w:pPr>
              <w:spacing w:after="0"/>
            </w:pPr>
            <w:r>
              <w:t>Every Studio Day can produce different work. The debrief provides a consistent ending: what the problem was, what Studio Conners did, what was made, what changed or was learned, and what remains open.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8CEC2"/>
          <w:left w:val="single" w:sz="6" w:space="0" w:color="D8CEC2"/>
          <w:bottom w:val="single" w:sz="6" w:space="0" w:color="D8CEC2"/>
          <w:right w:val="single" w:sz="6" w:space="0" w:color="D8CEC2"/>
          <w:insideH w:val="single" w:sz="6" w:space="0" w:color="D8CEC2"/>
          <w:insideV w:val="single" w:sz="6" w:space="0" w:color="D8CEC2"/>
        </w:tblBorders>
      </w:tblPr>
      <w:tblGrid>
        <w:gridCol w:w="4997"/>
        <w:gridCol w:w="4997"/>
      </w:tblGrid>
      <w:tr>
        <w:tc>
          <w:tcPr>
            <w:tcW w:type="dxa" w:w="2592"/>
            <w:shd w:fill="EEE7DE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Client / organization</w:t>
            </w:r>
          </w:p>
        </w:tc>
        <w:tc>
          <w:tcPr>
            <w:tcW w:type="dxa" w:w="7344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spacing w:after="0"/>
            </w:pPr>
            <w:r>
              <w:t>____________________________________________</w:t>
            </w:r>
          </w:p>
        </w:tc>
      </w:tr>
      <w:tr>
        <w:tc>
          <w:tcPr>
            <w:tcW w:type="dxa" w:w="2592"/>
            <w:shd w:fill="EEE7DE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Studio Day date</w:t>
            </w:r>
          </w:p>
        </w:tc>
        <w:tc>
          <w:tcPr>
            <w:tcW w:type="dxa" w:w="7344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spacing w:after="0"/>
            </w:pPr>
            <w:r>
              <w:t>____________________________________________</w:t>
            </w:r>
          </w:p>
        </w:tc>
      </w:tr>
      <w:tr>
        <w:tc>
          <w:tcPr>
            <w:tcW w:type="dxa" w:w="2592"/>
            <w:shd w:fill="EEE7DE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spacing w:after="0"/>
            </w:pPr>
            <w:r>
              <w:rPr>
                <w:b/>
              </w:rPr>
              <w:t>Problem we took on</w:t>
            </w:r>
          </w:p>
        </w:tc>
        <w:tc>
          <w:tcPr>
            <w:tcW w:type="dxa" w:w="7344"/>
            <w:tcMar>
              <w:top w:w="130" w:type="dxa"/>
              <w:start w:w="150" w:type="dxa"/>
              <w:bottom w:w="130" w:type="dxa"/>
              <w:end w:w="150" w:type="dxa"/>
            </w:tcMar>
            <w:vAlign w:val="center"/>
          </w:tcPr>
          <w:p>
            <w:pPr>
              <w:spacing w:after="0"/>
            </w:pPr>
            <w:r>
              <w:t>____________________________________________</w:t>
            </w:r>
          </w:p>
        </w:tc>
      </w:tr>
    </w:tbl>
    <w:p>
      <w:pPr>
        <w:pStyle w:val="Heading1"/>
      </w:pPr>
      <w:r>
        <w:t>1. What we set out to do</w:t>
      </w:r>
    </w:p>
    <w:p>
      <w:r>
        <w:rPr>
          <w:i/>
          <w:color w:val="6E665F"/>
        </w:rPr>
        <w:t>A short description of the problem, question, or desired change that defined the Studio Day.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pStyle w:val="Heading1"/>
      </w:pPr>
      <w:r>
        <w:t>2. What we did</w:t>
      </w:r>
    </w:p>
    <w:p>
      <w:r>
        <w:rPr>
          <w:i/>
          <w:color w:val="6E665F"/>
        </w:rPr>
        <w:t>The important work, approaches, investigations, decisions, iterations, or course corrections that shaped the day.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pStyle w:val="Heading1"/>
      </w:pPr>
      <w:r>
        <w:t>3. What we made</w:t>
      </w:r>
    </w:p>
    <w:p>
      <w:r>
        <w:rPr>
          <w:i/>
          <w:color w:val="6E665F"/>
        </w:rPr>
        <w:t>The concrete deliverables, artifacts, changes, concepts, files, systems, drafts, or other outputs produced during the day.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pStyle w:val="Heading1"/>
      </w:pPr>
      <w:r>
        <w:t>4. What we learned or concluded</w:t>
      </w:r>
    </w:p>
    <w:p>
      <w:r>
        <w:rPr>
          <w:i/>
          <w:color w:val="6E665F"/>
        </w:rPr>
        <w:t>The most important conclusions, discoveries, constraints, or changes in understanding that emerged from the work.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pStyle w:val="Heading1"/>
      </w:pPr>
      <w:r>
        <w:t>5. Files and links</w:t>
      </w:r>
    </w:p>
    <w:p>
      <w:r>
        <w:rPr>
          <w:i/>
          <w:color w:val="6E665F"/>
        </w:rPr>
        <w:t>A clean list of everything being handed over, with enough context for the client to know what each item is.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pStyle w:val="Heading1"/>
      </w:pPr>
      <w:r>
        <w:t>6. What remains open</w:t>
      </w:r>
    </w:p>
    <w:p>
      <w:r>
        <w:rPr>
          <w:i/>
          <w:color w:val="6E665F"/>
        </w:rPr>
        <w:t>Anything unresolved, optional, worth revisiting, or intentionally left for another day. This is not an automatic commitment to more work.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p>
      <w:pPr>
        <w:spacing w:after="140"/>
      </w:pPr>
      <w:r>
        <w:rPr>
          <w:color w:val="D8CEC2"/>
        </w:rPr>
        <w:t>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8CEC2"/>
          <w:left w:val="single" w:sz="6" w:space="0" w:color="D8CEC2"/>
          <w:bottom w:val="single" w:sz="6" w:space="0" w:color="D8CEC2"/>
          <w:right w:val="single" w:sz="6" w:space="0" w:color="D8CEC2"/>
          <w:insideH w:val="single" w:sz="6" w:space="0" w:color="D8CEC2"/>
          <w:insideV w:val="single" w:sz="6" w:space="0" w:color="D8CEC2"/>
        </w:tblBorders>
      </w:tblPr>
      <w:tblGrid>
        <w:gridCol w:w="9994"/>
      </w:tblGrid>
      <w:tr>
        <w:tc>
          <w:tcPr>
            <w:tcW w:type="dxa" w:w="9994"/>
            <w:shd w:fill="FBF8F4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spacing w:after="60"/>
            </w:pPr>
            <w:r>
              <w:rPr>
                <w:b/>
                <w:color w:val="A14F2B"/>
              </w:rPr>
              <w:t>Relationship to ObsessOS</w:t>
            </w:r>
          </w:p>
          <w:p>
            <w:pPr>
              <w:spacing w:after="0"/>
            </w:pPr>
            <w:r>
              <w:t>The client debrief is not the ObsessOS exhibit copied verbatim. ObsessOS can help Studio Conners reconstruct and understand the day internally; this document is the intentional client-facing translation of that work.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E665F"/>
        <w:sz w:val="16"/>
      </w:rPr>
      <w:t>STUDIO CONNERS • Studio Day Debrief Template • v0.1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Liberation Sans" w:hAnsi="Liberation Sans"/>
      <w:color w:val="2421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A14F2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24211E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Liberation Sans" w:hAnsi="Liberation Sans"/>
      <w:b/>
      <w:color w:val="24211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