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Day Lifecycle</w:t>
      </w:r>
    </w:p>
    <w:p>
      <w:pPr>
        <w:spacing w:after="160"/>
      </w:pPr>
      <w:r>
        <w:rPr>
          <w:color w:val="6E665F"/>
          <w:sz w:val="21"/>
        </w:rPr>
        <w:t>STUDIO CONNERS | Entry paths, invitation rules, and website direction • September 8, 2026</w:t>
      </w:r>
    </w:p>
    <w:p>
      <w:pPr>
        <w:spacing w:after="260"/>
      </w:pPr>
      <w:r>
        <w:rPr>
          <w:b/>
          <w:color w:val="A14F2B"/>
          <w:sz w:val="17"/>
        </w:rPr>
        <w:t>ARCHITECTURE DEFINITION</w:t>
      </w:r>
    </w:p>
    <w:p>
      <w:pPr>
        <w:pStyle w:val="Heading1"/>
      </w:pPr>
      <w:r>
        <w:t>Two paths into a Studio 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8CEC2"/>
          <w:left w:val="single" w:sz="6" w:space="0" w:color="D8CEC2"/>
          <w:bottom w:val="single" w:sz="6" w:space="0" w:color="D8CEC2"/>
          <w:right w:val="single" w:sz="6" w:space="0" w:color="D8CEC2"/>
          <w:insideH w:val="single" w:sz="6" w:space="0" w:color="D8CEC2"/>
          <w:insideV w:val="single" w:sz="6" w:space="0" w:color="D8CEC2"/>
        </w:tblBorders>
      </w:tblPr>
      <w:tblGrid>
        <w:gridCol w:w="4997"/>
        <w:gridCol w:w="4997"/>
      </w:tblGrid>
      <w:tr>
        <w:tc>
          <w:tcPr>
            <w:tcW w:type="dxa" w:w="4997"/>
            <w:shd w:fill="A14F2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Invited Studio Day</w:t>
            </w:r>
          </w:p>
        </w:tc>
        <w:tc>
          <w:tcPr>
            <w:tcW w:type="dxa" w:w="4997"/>
            <w:shd w:fill="A14F2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Public Studio Day Request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Studio Conners notices a particular problem and explicitly invites that problem into the studio.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A person or business approaches Studio Conners with a problem of their own.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The invitation itself provides initial clearance for that named problem.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Studio Conners still needs to decide whether the requested problem fits the Studio Day model.</w:t>
            </w:r>
          </w:p>
        </w:tc>
      </w:tr>
      <w:tr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The invitation does not grant blanket future access for unrelated problems.</w:t>
            </w:r>
          </w:p>
        </w:tc>
        <w:tc>
          <w:tcPr>
            <w:tcW w:type="dxa" w:w="499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A public request is a request for consideration, not an automatic booking or acceptance.</w:t>
            </w:r>
          </w:p>
        </w:tc>
      </w:tr>
    </w:tbl>
    <w:p>
      <w:pPr>
        <w:pStyle w:val="Heading1"/>
      </w:pPr>
      <w:r>
        <w:t>Canonical invitation rule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A14F2B"/>
          <w:left w:val="single" w:sz="0" w:space="0" w:color="A14F2B"/>
          <w:bottom w:val="single" w:sz="0" w:space="0" w:color="A14F2B"/>
          <w:right w:val="single" w:sz="0" w:space="0" w:color="A14F2B"/>
          <w:insideH w:val="single" w:sz="0" w:space="0" w:color="A14F2B"/>
          <w:insideV w:val="single" w:sz="0" w:space="0" w:color="A14F2B"/>
        </w:tblBorders>
      </w:tblPr>
      <w:tblGrid>
        <w:gridCol w:w="9994"/>
      </w:tblGrid>
      <w:tr>
        <w:tc>
          <w:tcPr>
            <w:tcW w:type="dxa" w:w="9994"/>
            <w:shd w:fill="F6F1E9"/>
            <w:tcMar>
              <w:top w:w="170" w:type="dxa"/>
              <w:start w:w="220" w:type="dxa"/>
              <w:bottom w:w="170" w:type="dxa"/>
              <w:end w:w="22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A14F2B"/>
                <w:sz w:val="30"/>
              </w:rPr>
              <w:t>An invitation clears the problem, not the person.</w:t>
            </w:r>
          </w:p>
        </w:tc>
      </w:tr>
    </w:tbl>
    <w:p>
      <w:pPr>
        <w:spacing w:after="0"/>
      </w:pPr>
    </w:p>
    <w:p>
      <w:pPr>
        <w:pStyle w:val="Heading1"/>
      </w:pPr>
      <w:r>
        <w:t>Lifecycle</w:t>
      </w:r>
    </w:p>
    <w:p>
      <w:pPr>
        <w:pStyle w:val="ListNumber"/>
        <w:spacing w:after="100"/>
        <w:ind w:left="317" w:hanging="202"/>
      </w:pPr>
      <w:r>
        <w:rPr>
          <w:rFonts w:ascii="Liberation Sans" w:hAnsi="Liberation Sans"/>
          <w:sz w:val="20"/>
        </w:rPr>
        <w:t>A problem enters through an invitation or a public request.</w:t>
      </w:r>
    </w:p>
    <w:p>
      <w:pPr>
        <w:pStyle w:val="ListNumber"/>
        <w:spacing w:after="100"/>
        <w:ind w:left="317" w:hanging="202"/>
      </w:pPr>
      <w:r>
        <w:rPr>
          <w:rFonts w:ascii="Liberation Sans" w:hAnsi="Liberation Sans"/>
          <w:sz w:val="20"/>
        </w:rPr>
        <w:t>Studio Conners confirms that the specific problem fits the Studio Day operating model.</w:t>
      </w:r>
    </w:p>
    <w:p>
      <w:pPr>
        <w:pStyle w:val="ListNumber"/>
        <w:spacing w:after="100"/>
        <w:ind w:left="317" w:hanging="202"/>
      </w:pPr>
      <w:r>
        <w:rPr>
          <w:rFonts w:ascii="Liberation Sans" w:hAnsi="Liberation Sans"/>
          <w:sz w:val="20"/>
        </w:rPr>
        <w:t>The problem is prepared: context, files, access, expectations, and anything needed to begin cleanly are gathered.</w:t>
      </w:r>
    </w:p>
    <w:p>
      <w:pPr>
        <w:pStyle w:val="ListNumber"/>
        <w:spacing w:after="100"/>
        <w:ind w:left="317" w:hanging="202"/>
      </w:pPr>
      <w:r>
        <w:rPr>
          <w:rFonts w:ascii="Liberation Sans" w:hAnsi="Liberation Sans"/>
          <w:sz w:val="20"/>
        </w:rPr>
        <w:t>Studio Conners spends the scheduled day working with concentrated attention while the client remains reachable for needed input.</w:t>
      </w:r>
    </w:p>
    <w:p>
      <w:pPr>
        <w:pStyle w:val="ListNumber"/>
        <w:spacing w:after="100"/>
        <w:ind w:left="317" w:hanging="202"/>
      </w:pPr>
      <w:r>
        <w:rPr>
          <w:rFonts w:ascii="Liberation Sans" w:hAnsi="Liberation Sans"/>
          <w:sz w:val="20"/>
        </w:rPr>
        <w:t>The day ends with the actual work produced plus a standardized client-facing debrief.</w:t>
      </w:r>
    </w:p>
    <w:p>
      <w:pPr>
        <w:pStyle w:val="ListNumber"/>
        <w:spacing w:after="100"/>
        <w:ind w:left="317" w:hanging="202"/>
      </w:pPr>
      <w:r>
        <w:rPr>
          <w:rFonts w:ascii="Liberation Sans" w:hAnsi="Liberation Sans"/>
          <w:sz w:val="20"/>
        </w:rPr>
        <w:t>Anything still alive is made explicit rather than disappearing into an informal agency relationship.</w:t>
      </w:r>
    </w:p>
    <w:p>
      <w:pPr>
        <w:pStyle w:val="Heading1"/>
      </w:pPr>
      <w:r>
        <w:t>The future role of studioconners.com</w:t>
      </w:r>
    </w:p>
    <w:p>
      <w:r>
        <w:rPr>
          <w:b/>
        </w:rPr>
        <w:t xml:space="preserve">The website should eventually become the primary interface for nearly the entire Studio Day lifecycle. </w:t>
      </w:r>
      <w:r>
        <w:t>Its future role should extend beyond marketing into the actual movement of a problem through Studio Conners.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Present and receive Studio Day invitations.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Accept public Studio Day requests.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Collect the preparation/context needed before the day.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Support communication and access around the working day where useful.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Deliver the final work and Studio Day debrief.</w:t>
      </w:r>
    </w:p>
    <w:p>
      <w:r>
        <w:rPr>
          <w:i/>
          <w:color w:val="6E665F"/>
        </w:rPr>
        <w:t>Architecture defined; full website implementation remains future work.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E665F"/>
        <w:sz w:val="16"/>
      </w:rPr>
      <w:t>STUDIO CONNERS • Studio Day Lifecycle • 2026-09-08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Liberation Sans" w:hAnsi="Liberation Sans"/>
      <w:color w:val="24211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A14F2B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211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24211E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